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</w:pPr>
      <w:r>
        <w:t>Policy 79: Write-Off Policy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17365D"/>
          </w:tcPr>
          <w:p>
            <w:r/>
            <w:r>
              <w:rPr>
                <w:b/>
                <w:color w:val="FFFFFF"/>
                <w:sz w:val="16"/>
              </w:rPr>
              <w:t>Metadata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17365D"/>
          </w:tcPr>
          <w:p>
            <w:r/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Policy ID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POL-FIN-079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Status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Synthetic training document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Accountable owner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Chief Financial Officer / Chief Credit Officer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Version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1.0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Review cycle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Suggested annual plus material-change review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Scope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Credit exposures considered partially or fully uncollectible for accounting write-off while legal or recovery rights may remain.</w:t>
            </w:r>
          </w:p>
        </w:tc>
      </w:tr>
    </w:tbl>
    <w:p/>
    <w:p>
      <w:pPr>
        <w:pStyle w:val="Heading2"/>
        <w:keepNext/>
      </w:pPr>
      <w:r>
        <w:t>1. Purpose</w:t>
      </w:r>
    </w:p>
    <w:p>
      <w:pPr>
        <w:spacing w:after="100" w:line="259" w:lineRule="auto"/>
      </w:pPr>
      <w:r>
        <w:t>Define write-off triggers, evidence, authority, accounting, recovery continuation, reporting and control.</w:t>
      </w:r>
    </w:p>
    <w:p>
      <w:pPr>
        <w:pStyle w:val="Heading2"/>
        <w:keepNext/>
      </w:pPr>
      <w:r>
        <w:t>2. Objectives</w:t>
      </w:r>
    </w:p>
    <w:p>
      <w:pPr>
        <w:pStyle w:val="ListBullet"/>
        <w:spacing w:after="40"/>
      </w:pPr>
      <w:r>
        <w:t>Create consistent, explainable and auditable decisions.</w:t>
      </w:r>
    </w:p>
    <w:p>
      <w:pPr>
        <w:pStyle w:val="ListBullet"/>
        <w:spacing w:after="40"/>
      </w:pPr>
      <w:r>
        <w:t>Use governed data, definitions and approval authorities.</w:t>
      </w:r>
    </w:p>
    <w:p>
      <w:pPr>
        <w:pStyle w:val="ListBullet"/>
        <w:spacing w:after="40"/>
      </w:pPr>
      <w:r>
        <w:t>Identify missing, stale and conflicting evidence rather than guessing.</w:t>
      </w:r>
    </w:p>
    <w:p>
      <w:pPr>
        <w:pStyle w:val="ListBullet"/>
        <w:spacing w:after="40"/>
      </w:pPr>
      <w:r>
        <w:t>Support human accountability and portfolio-level oversight.</w:t>
      </w:r>
    </w:p>
    <w:p>
      <w:pPr>
        <w:pStyle w:val="Heading2"/>
        <w:keepNext/>
      </w:pPr>
      <w:r>
        <w:t>3. Scope and Applicability</w:t>
      </w:r>
    </w:p>
    <w:p>
      <w:pPr>
        <w:spacing w:after="100" w:line="259" w:lineRule="auto"/>
      </w:pPr>
      <w:r>
        <w:t>Credit exposures considered partially or fully uncollectible for accounting write-off while legal or recovery rights may remain.</w:t>
      </w:r>
    </w:p>
    <w:p>
      <w:pPr>
        <w:spacing w:after="100" w:line="259" w:lineRule="auto"/>
      </w:pPr>
      <w:r>
        <w:t>The production bank shall configure applicability by legal entity, customer, product, geography, materiality and jurisdiction. Stricter approved requirements prevail.</w:t>
      </w:r>
    </w:p>
    <w:p>
      <w:pPr>
        <w:pStyle w:val="Heading2"/>
        <w:keepNext/>
      </w:pPr>
      <w:r>
        <w:t>4. Definitions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17365D"/>
          </w:tcPr>
          <w:p>
            <w:r/>
            <w:r>
              <w:rPr>
                <w:b/>
                <w:color w:val="FFFFFF"/>
                <w:sz w:val="16"/>
              </w:rPr>
              <w:t>Term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17365D"/>
          </w:tcPr>
          <w:p>
            <w:r/>
            <w:r>
              <w:rPr>
                <w:b/>
                <w:color w:val="FFFFFF"/>
                <w:sz w:val="16"/>
              </w:rPr>
              <w:t>Synthetic definition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Write-off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Accounting removal of all or part of a credit exposure judged uncollectible under approved policy.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Partial write-off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Write-off of an identified uncollectible portion.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Charge-off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Equivalent term where used under the applicable framework.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Post-write-off recovery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Cash or value realized after write-off.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Recovery rights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Legal and contractual rights that may continue after accounting write-off.</w:t>
            </w:r>
          </w:p>
        </w:tc>
      </w:tr>
    </w:tbl>
    <w:p/>
    <w:p>
      <w:pPr>
        <w:pStyle w:val="Heading2"/>
        <w:keepNext/>
      </w:pPr>
      <w:r>
        <w:t>5. Governance and Responsibilities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17365D"/>
          </w:tcPr>
          <w:p>
            <w:r/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17365D"/>
          </w:tcPr>
          <w:p>
            <w:r/>
            <w:r>
              <w:rPr>
                <w:b/>
                <w:color w:val="FFFFFF"/>
                <w:sz w:val="16"/>
              </w:rPr>
              <w:t>Responsibility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Policy owner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Owns interpretation, change and control effectiveness. Indicative owner: Chief Financial Officer / Chief Credit Officer.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First line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Executes controls, validates evidence and owns remediation.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Independent Risk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Challenges assumptions, exceptions and material decisions.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Legal / Compliance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Advises on applicable legal, conduct and regulatory requirements.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Data / Technology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Maintains lineage, access, calculation and workflow controls.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Internal Audit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Provides independent assurance.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GenAI owner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Maintains grounding, testing, human review and audit logs.</w:t>
            </w:r>
          </w:p>
        </w:tc>
      </w:tr>
    </w:tbl>
    <w:p/>
    <w:p>
      <w:pPr>
        <w:pStyle w:val="Heading2"/>
        <w:keepNext/>
      </w:pPr>
      <w:r>
        <w:t>6. Detailed Policy Requirements</w:t>
      </w:r>
    </w:p>
    <w:p>
      <w:pPr>
        <w:keepNext/>
      </w:pPr>
      <w:r>
        <w:rPr>
          <w:b/>
          <w:color w:val="17365D"/>
        </w:rPr>
        <w:t>POL-FIN-079.01 Criteria</w:t>
      </w:r>
    </w:p>
    <w:p>
      <w:pPr>
        <w:spacing w:after="100" w:line="259" w:lineRule="auto"/>
      </w:pPr>
      <w:r>
        <w:t>Write-off shall follow approved uncollectibility, timing, recovery and framework criteria.</w:t>
      </w:r>
    </w:p>
    <w:p>
      <w:pPr>
        <w:keepNext/>
      </w:pPr>
      <w:r>
        <w:rPr>
          <w:b/>
          <w:color w:val="17365D"/>
        </w:rPr>
        <w:t>POL-FIN-079.02 Evidence</w:t>
      </w:r>
    </w:p>
    <w:p>
      <w:pPr>
        <w:spacing w:after="100" w:line="259" w:lineRule="auto"/>
      </w:pPr>
      <w:r>
        <w:t>Case history, collection efforts, insolvency, collateral, legal status and recovery forecast shall support the decision.</w:t>
      </w:r>
    </w:p>
    <w:p>
      <w:pPr>
        <w:keepNext/>
      </w:pPr>
      <w:r>
        <w:rPr>
          <w:b/>
          <w:color w:val="17365D"/>
        </w:rPr>
        <w:t>POL-FIN-079.03 No automatic debt forgiveness</w:t>
      </w:r>
    </w:p>
    <w:p>
      <w:pPr>
        <w:spacing w:after="100" w:line="259" w:lineRule="auto"/>
      </w:pPr>
      <w:r>
        <w:t>Accounting write-off does not by itself extinguish customer liability or legal rights.</w:t>
      </w:r>
    </w:p>
    <w:p>
      <w:pPr>
        <w:keepNext/>
      </w:pPr>
      <w:r>
        <w:rPr>
          <w:b/>
          <w:color w:val="17365D"/>
        </w:rPr>
        <w:t>POL-FIN-079.04 Partial versus full</w:t>
      </w:r>
    </w:p>
    <w:p>
      <w:pPr>
        <w:spacing w:after="100" w:line="259" w:lineRule="auto"/>
      </w:pPr>
      <w:r>
        <w:t>The decision shall identify amount, components and remaining exposure.</w:t>
      </w:r>
    </w:p>
    <w:p>
      <w:pPr>
        <w:keepNext/>
      </w:pPr>
      <w:r>
        <w:rPr>
          <w:b/>
          <w:color w:val="17365D"/>
        </w:rPr>
        <w:t>POL-FIN-079.05 Collateral and guarantees</w:t>
      </w:r>
    </w:p>
    <w:p>
      <w:pPr>
        <w:spacing w:after="100" w:line="259" w:lineRule="auto"/>
      </w:pPr>
      <w:r>
        <w:t>Residual value, enforceability and expected proceeds shall be assessed.</w:t>
      </w:r>
    </w:p>
    <w:p>
      <w:pPr>
        <w:keepNext/>
      </w:pPr>
      <w:r>
        <w:rPr>
          <w:b/>
          <w:color w:val="17365D"/>
        </w:rPr>
        <w:t>POL-FIN-079.06 Provision alignment</w:t>
      </w:r>
    </w:p>
    <w:p>
      <w:pPr>
        <w:spacing w:after="100" w:line="259" w:lineRule="auto"/>
      </w:pPr>
      <w:r>
        <w:t>Provision, allowance and write-off amounts shall reconcile under the applicable framework.</w:t>
      </w:r>
    </w:p>
    <w:p>
      <w:pPr>
        <w:keepNext/>
      </w:pPr>
      <w:r>
        <w:rPr>
          <w:b/>
          <w:color w:val="17365D"/>
        </w:rPr>
        <w:t>POL-FIN-079.07 Authority</w:t>
      </w:r>
    </w:p>
    <w:p>
      <w:pPr>
        <w:spacing w:after="100" w:line="259" w:lineRule="auto"/>
      </w:pPr>
      <w:r>
        <w:t>Write-off approval shall reflect amount, status, legal entity and delegation.</w:t>
      </w:r>
    </w:p>
    <w:p>
      <w:pPr>
        <w:keepNext/>
      </w:pPr>
      <w:r>
        <w:rPr>
          <w:b/>
          <w:color w:val="17365D"/>
        </w:rPr>
        <w:t>POL-FIN-079.08 Accounting</w:t>
      </w:r>
    </w:p>
    <w:p>
      <w:pPr>
        <w:spacing w:after="100" w:line="259" w:lineRule="auto"/>
      </w:pPr>
      <w:r>
        <w:t>Posting, suspense, interest, fees and tax treatment shall follow Finance controls.</w:t>
      </w:r>
    </w:p>
    <w:p>
      <w:pPr>
        <w:keepNext/>
      </w:pPr>
      <w:r>
        <w:rPr>
          <w:b/>
          <w:color w:val="17365D"/>
        </w:rPr>
        <w:t>POL-FIN-079.09 Recovery continuation</w:t>
      </w:r>
    </w:p>
    <w:p>
      <w:pPr>
        <w:spacing w:after="100" w:line="259" w:lineRule="auto"/>
      </w:pPr>
      <w:r>
        <w:t>Post-write-off strategy, vendor, legal action and review shall be documented.</w:t>
      </w:r>
    </w:p>
    <w:p>
      <w:pPr>
        <w:keepNext/>
      </w:pPr>
      <w:r>
        <w:rPr>
          <w:b/>
          <w:color w:val="17365D"/>
        </w:rPr>
        <w:t>POL-FIN-079.10 Customer reporting</w:t>
      </w:r>
    </w:p>
    <w:p>
      <w:pPr>
        <w:spacing w:after="100" w:line="259" w:lineRule="auto"/>
      </w:pPr>
      <w:r>
        <w:t>Credit-bureau, statement and regulatory reporting shall follow approved rules.</w:t>
      </w:r>
    </w:p>
    <w:p>
      <w:pPr>
        <w:keepNext/>
      </w:pPr>
      <w:r>
        <w:rPr>
          <w:b/>
          <w:color w:val="17365D"/>
        </w:rPr>
        <w:t>POL-FIN-079.11 Reconciliation</w:t>
      </w:r>
    </w:p>
    <w:p>
      <w:pPr>
        <w:spacing w:after="100" w:line="259" w:lineRule="auto"/>
      </w:pPr>
      <w:r>
        <w:t>Subledger, general ledger, recovery and risk systems shall reconcile.</w:t>
      </w:r>
    </w:p>
    <w:p>
      <w:pPr>
        <w:keepNext/>
      </w:pPr>
      <w:r>
        <w:rPr>
          <w:b/>
          <w:color w:val="17365D"/>
        </w:rPr>
        <w:t>POL-FIN-079.12 Reporting</w:t>
      </w:r>
    </w:p>
    <w:p>
      <w:pPr>
        <w:spacing w:after="100" w:line="259" w:lineRule="auto"/>
      </w:pPr>
      <w:r>
        <w:t>Write-offs, recoveries, vintages, causes and approvals shall be reported.</w:t>
      </w:r>
    </w:p>
    <w:p>
      <w:pPr>
        <w:keepNext/>
      </w:pPr>
      <w:r>
        <w:rPr>
          <w:b/>
          <w:color w:val="17365D"/>
        </w:rPr>
        <w:t>POL-FIN-079.13 AI boundary</w:t>
      </w:r>
    </w:p>
    <w:p>
      <w:pPr>
        <w:spacing w:after="100" w:line="259" w:lineRule="auto"/>
      </w:pPr>
      <w:r>
        <w:t>The agent may assemble evidence and calculations but shall not approve, post or communicate a write-off.</w:t>
      </w:r>
    </w:p>
    <w:p>
      <w:pPr>
        <w:pStyle w:val="Heading2"/>
        <w:keepNext/>
      </w:pPr>
      <w:r>
        <w:t>7. Minimum Control Framework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0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17365D"/>
          </w:tcPr>
          <w:p>
            <w:r/>
            <w:r>
              <w:rPr>
                <w:b/>
                <w:color w:val="FFFFFF"/>
                <w:sz w:val="16"/>
              </w:rPr>
              <w:t>Control ID</w:t>
            </w:r>
          </w:p>
        </w:tc>
        <w:tc>
          <w:tcPr>
            <w:tcW w:type="dxa" w:w="165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17365D"/>
          </w:tcPr>
          <w:p>
            <w:r/>
            <w:r>
              <w:rPr>
                <w:b/>
                <w:color w:val="FFFFFF"/>
                <w:sz w:val="16"/>
              </w:rPr>
              <w:t>Control</w:t>
            </w:r>
          </w:p>
        </w:tc>
        <w:tc>
          <w:tcPr>
            <w:tcW w:type="dxa" w:w="338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17365D"/>
          </w:tcPr>
          <w:p>
            <w:r/>
            <w:r>
              <w:rPr>
                <w:b/>
                <w:color w:val="FFFFFF"/>
                <w:sz w:val="16"/>
              </w:rPr>
              <w:t>Requirement</w:t>
            </w:r>
          </w:p>
        </w:tc>
        <w:tc>
          <w:tcPr>
            <w:tcW w:type="dxa" w:w="144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17365D"/>
          </w:tcPr>
          <w:p>
            <w:r/>
            <w:r>
              <w:rPr>
                <w:b/>
                <w:color w:val="FFFFFF"/>
                <w:sz w:val="16"/>
              </w:rPr>
              <w:t>Frequency</w:t>
            </w:r>
          </w:p>
        </w:tc>
        <w:tc>
          <w:tcPr>
            <w:tcW w:type="dxa" w:w="172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17365D"/>
          </w:tcPr>
          <w:p>
            <w:r/>
            <w:r>
              <w:rPr>
                <w:b/>
                <w:color w:val="FFFFFF"/>
                <w:sz w:val="16"/>
              </w:rPr>
              <w:t>Owner</w:t>
            </w:r>
          </w:p>
        </w:tc>
        <w:tc>
          <w:tcPr>
            <w:tcW w:type="dxa" w:w="187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17365D"/>
          </w:tcPr>
          <w:p>
            <w:r/>
            <w:r>
              <w:rPr>
                <w:b/>
                <w:color w:val="FFFFFF"/>
                <w:sz w:val="16"/>
              </w:rPr>
              <w:t>Evidence</w:t>
            </w:r>
          </w:p>
        </w:tc>
      </w:tr>
      <w:tr>
        <w:tc>
          <w:tcPr>
            <w:tcW w:type="dxa" w:w="10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WOF-01</w:t>
            </w:r>
          </w:p>
        </w:tc>
        <w:tc>
          <w:tcPr>
            <w:tcW w:type="dxa" w:w="165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Eligibility assessment</w:t>
            </w:r>
          </w:p>
        </w:tc>
        <w:tc>
          <w:tcPr>
            <w:tcW w:type="dxa" w:w="338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Validate write-off criteria and evidence.</w:t>
            </w:r>
          </w:p>
        </w:tc>
        <w:tc>
          <w:tcPr>
            <w:tcW w:type="dxa" w:w="144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Per case</w:t>
            </w:r>
          </w:p>
        </w:tc>
        <w:tc>
          <w:tcPr>
            <w:tcW w:type="dxa" w:w="172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Finance / SAM</w:t>
            </w:r>
          </w:p>
        </w:tc>
        <w:tc>
          <w:tcPr>
            <w:tcW w:type="dxa" w:w="187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Assessment memo</w:t>
            </w:r>
          </w:p>
        </w:tc>
      </w:tr>
      <w:tr>
        <w:tc>
          <w:tcPr>
            <w:tcW w:type="dxa" w:w="10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WOF-02</w:t>
            </w:r>
          </w:p>
        </w:tc>
        <w:tc>
          <w:tcPr>
            <w:tcW w:type="dxa" w:w="165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Authority check</w:t>
            </w:r>
          </w:p>
        </w:tc>
        <w:tc>
          <w:tcPr>
            <w:tcW w:type="dxa" w:w="338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Confirm delegated approval.</w:t>
            </w:r>
          </w:p>
        </w:tc>
        <w:tc>
          <w:tcPr>
            <w:tcW w:type="dxa" w:w="144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Per decision</w:t>
            </w:r>
          </w:p>
        </w:tc>
        <w:tc>
          <w:tcPr>
            <w:tcW w:type="dxa" w:w="172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Credit Governance</w:t>
            </w:r>
          </w:p>
        </w:tc>
        <w:tc>
          <w:tcPr>
            <w:tcW w:type="dxa" w:w="187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Approval record</w:t>
            </w:r>
          </w:p>
        </w:tc>
      </w:tr>
      <w:tr>
        <w:tc>
          <w:tcPr>
            <w:tcW w:type="dxa" w:w="10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WOF-03</w:t>
            </w:r>
          </w:p>
        </w:tc>
        <w:tc>
          <w:tcPr>
            <w:tcW w:type="dxa" w:w="165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Accounting control</w:t>
            </w:r>
          </w:p>
        </w:tc>
        <w:tc>
          <w:tcPr>
            <w:tcW w:type="dxa" w:w="338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Post approved amount with maker-checker.</w:t>
            </w:r>
          </w:p>
        </w:tc>
        <w:tc>
          <w:tcPr>
            <w:tcW w:type="dxa" w:w="144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Per posting</w:t>
            </w:r>
          </w:p>
        </w:tc>
        <w:tc>
          <w:tcPr>
            <w:tcW w:type="dxa" w:w="172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Finance Operations</w:t>
            </w:r>
          </w:p>
        </w:tc>
        <w:tc>
          <w:tcPr>
            <w:tcW w:type="dxa" w:w="187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Journal evidence</w:t>
            </w:r>
          </w:p>
        </w:tc>
      </w:tr>
      <w:tr>
        <w:tc>
          <w:tcPr>
            <w:tcW w:type="dxa" w:w="10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WOF-04</w:t>
            </w:r>
          </w:p>
        </w:tc>
        <w:tc>
          <w:tcPr>
            <w:tcW w:type="dxa" w:w="165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System reconciliation</w:t>
            </w:r>
          </w:p>
        </w:tc>
        <w:tc>
          <w:tcPr>
            <w:tcW w:type="dxa" w:w="338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Reconcile ledger, risk and recovery records.</w:t>
            </w:r>
          </w:p>
        </w:tc>
        <w:tc>
          <w:tcPr>
            <w:tcW w:type="dxa" w:w="144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Per cycle</w:t>
            </w:r>
          </w:p>
        </w:tc>
        <w:tc>
          <w:tcPr>
            <w:tcW w:type="dxa" w:w="172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Finance Control</w:t>
            </w:r>
          </w:p>
        </w:tc>
        <w:tc>
          <w:tcPr>
            <w:tcW w:type="dxa" w:w="187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Reconciliation</w:t>
            </w:r>
          </w:p>
        </w:tc>
      </w:tr>
      <w:tr>
        <w:tc>
          <w:tcPr>
            <w:tcW w:type="dxa" w:w="10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WOF-05</w:t>
            </w:r>
          </w:p>
        </w:tc>
        <w:tc>
          <w:tcPr>
            <w:tcW w:type="dxa" w:w="165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Recovery continuation</w:t>
            </w:r>
          </w:p>
        </w:tc>
        <w:tc>
          <w:tcPr>
            <w:tcW w:type="dxa" w:w="338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Assign post-write-off strategy and owner.</w:t>
            </w:r>
          </w:p>
        </w:tc>
        <w:tc>
          <w:tcPr>
            <w:tcW w:type="dxa" w:w="144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Per case</w:t>
            </w:r>
          </w:p>
        </w:tc>
        <w:tc>
          <w:tcPr>
            <w:tcW w:type="dxa" w:w="172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Recoveries</w:t>
            </w:r>
          </w:p>
        </w:tc>
        <w:tc>
          <w:tcPr>
            <w:tcW w:type="dxa" w:w="187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Recovery plan</w:t>
            </w:r>
          </w:p>
        </w:tc>
      </w:tr>
      <w:tr>
        <w:tc>
          <w:tcPr>
            <w:tcW w:type="dxa" w:w="10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WOF-06</w:t>
            </w:r>
          </w:p>
        </w:tc>
        <w:tc>
          <w:tcPr>
            <w:tcW w:type="dxa" w:w="1656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Portfolio reporting</w:t>
            </w:r>
          </w:p>
        </w:tc>
        <w:tc>
          <w:tcPr>
            <w:tcW w:type="dxa" w:w="338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Report causes, amounts and recoveries.</w:t>
            </w:r>
          </w:p>
        </w:tc>
        <w:tc>
          <w:tcPr>
            <w:tcW w:type="dxa" w:w="144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Periodic</w:t>
            </w:r>
          </w:p>
        </w:tc>
        <w:tc>
          <w:tcPr>
            <w:tcW w:type="dxa" w:w="172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Finance / Risk</w:t>
            </w:r>
          </w:p>
        </w:tc>
        <w:tc>
          <w:tcPr>
            <w:tcW w:type="dxa" w:w="1872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Write-off pack</w:t>
            </w:r>
          </w:p>
        </w:tc>
      </w:tr>
    </w:tbl>
    <w:p/>
    <w:p>
      <w:pPr>
        <w:pStyle w:val="Heading2"/>
        <w:keepNext/>
      </w:pPr>
      <w:r>
        <w:t>8. Exception and Escalation Standard</w:t>
      </w:r>
    </w:p>
    <w:p>
      <w:pPr>
        <w:pStyle w:val="ListBullet"/>
        <w:spacing w:after="40"/>
      </w:pPr>
      <w:r>
        <w:t>Cite the exact policy, version, section and clause.</w:t>
      </w:r>
    </w:p>
    <w:p>
      <w:pPr>
        <w:pStyle w:val="ListBullet"/>
        <w:spacing w:after="40"/>
      </w:pPr>
      <w:r>
        <w:t>Record required rule, verified fact, source and variance.</w:t>
      </w:r>
    </w:p>
    <w:p>
      <w:pPr>
        <w:pStyle w:val="ListBullet"/>
        <w:spacing w:after="40"/>
      </w:pPr>
      <w:r>
        <w:t>Assess relevant exposure, rating, ECL, RWA, appetite, concentration, legal and conduct impacts.</w:t>
      </w:r>
    </w:p>
    <w:p>
      <w:pPr>
        <w:pStyle w:val="ListBullet"/>
        <w:spacing w:after="40"/>
      </w:pPr>
      <w:r>
        <w:t>Document rationale, mitigants, residual risk, authority, owner, conditions, expiry and closure evidence.</w:t>
      </w:r>
    </w:p>
    <w:p>
      <w:pPr>
        <w:pStyle w:val="ListBullet"/>
        <w:spacing w:after="40"/>
      </w:pPr>
      <w:r>
        <w:t>Treat missing thresholds, schedules, legal opinions or approvals as UNRESOLVED.</w:t>
      </w:r>
    </w:p>
    <w:p>
      <w:pPr>
        <w:pStyle w:val="ListBullet"/>
        <w:spacing w:after="40"/>
      </w:pPr>
      <w:r>
        <w:t>Escalate attempts to split transactions, manipulate calculations or hide a breach.</w:t>
      </w:r>
    </w:p>
    <w:p>
      <w:pPr>
        <w:pStyle w:val="Heading2"/>
        <w:keepNext/>
      </w:pPr>
      <w:r>
        <w:t>9. Monitoring and Management Information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17365D"/>
          </w:tcPr>
          <w:p>
            <w:r/>
            <w:r>
              <w:rPr>
                <w:b/>
                <w:color w:val="FFFFFF"/>
                <w:sz w:val="16"/>
              </w:rPr>
              <w:t>Theme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17365D"/>
          </w:tcPr>
          <w:p>
            <w:r/>
            <w:r>
              <w:rPr>
                <w:b/>
                <w:color w:val="FFFFFF"/>
                <w:sz w:val="16"/>
              </w:rPr>
              <w:t>Minimum information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Outcome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Population by controlled compliance status.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Risk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Exposure, rating, ECL, RWA, limits and concentration where applicable.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Exception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Clause, severity, owner, authority, age, due date and repeat status.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Data quality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Missing, stale, conflicting and manually adjusted inputs.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Control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Failures, incidents, QA results and overdue remediation.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AI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Citation accuracy, applicability, abstention, errors and human overrides.</w:t>
            </w:r>
          </w:p>
        </w:tc>
      </w:tr>
    </w:tbl>
    <w:p/>
    <w:p>
      <w:pPr>
        <w:pStyle w:val="Heading2"/>
        <w:keepNext/>
      </w:pPr>
      <w:r>
        <w:t>10. Recordkeeping and Audit Trail</w:t>
      </w:r>
    </w:p>
    <w:p>
      <w:pPr>
        <w:spacing w:after="100" w:line="259" w:lineRule="auto"/>
      </w:pPr>
      <w:r>
        <w:t>Retain policy version, clauses, inputs, source locations, calculations, transformations, system and user actions, timestamps, model version, human review, final decision, authority, exceptions and changes under approved access and retention controls.</w:t>
      </w:r>
    </w:p>
    <w:p>
      <w:pPr>
        <w:pStyle w:val="Heading2"/>
        <w:keepNext/>
      </w:pPr>
      <w:r>
        <w:t>11. GenAI Training and Evaluation Requirements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17365D"/>
          </w:tcPr>
          <w:p>
            <w:r/>
            <w:r>
              <w:rPr>
                <w:b/>
                <w:color w:val="FFFFFF"/>
                <w:sz w:val="16"/>
              </w:rPr>
              <w:t>Test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17365D"/>
          </w:tcPr>
          <w:p>
            <w:r/>
            <w:r>
              <w:rPr>
                <w:b/>
                <w:color w:val="FFFFFF"/>
                <w:sz w:val="16"/>
              </w:rPr>
              <w:t>Expected behavior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Applicability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Explain scope and trigger evidence.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Retrieval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Cite current policy and exact clause.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Evidence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Separate verified fact, assertion, estimate, absent data and contradiction.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Calculation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Expose formula, values, units, period and source.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Exception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Draft but never approve or invent authority.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Adversarial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Reject concealment, threshold invention and approval bypass.</w:t>
            </w:r>
          </w:p>
        </w:tc>
      </w:tr>
      <w:tr>
        <w:tc>
          <w:tcPr>
            <w:tcW w:type="dxa" w:w="288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Human oversight</w:t>
            </w:r>
          </w:p>
        </w:tc>
        <w:tc>
          <w:tcPr>
            <w:tcW w:type="dxa" w:w="7200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Identify required review and accountable role.</w:t>
            </w:r>
          </w:p>
        </w:tc>
      </w:tr>
    </w:tbl>
    <w:p/>
    <w:p>
      <w:pPr>
        <w:pStyle w:val="Heading2"/>
        <w:keepNext/>
      </w:pPr>
      <w:r>
        <w:t>12. Synthetic Training Scenarios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30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17365D"/>
          </w:tcPr>
          <w:p>
            <w:r/>
            <w:r>
              <w:rPr>
                <w:b/>
                <w:color w:val="FFFFFF"/>
                <w:sz w:val="16"/>
              </w:rPr>
              <w:t>Scenario</w:t>
            </w:r>
          </w:p>
        </w:tc>
        <w:tc>
          <w:tcPr>
            <w:tcW w:type="dxa" w:w="38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17365D"/>
          </w:tcPr>
          <w:p>
            <w:r/>
            <w:r>
              <w:rPr>
                <w:b/>
                <w:color w:val="FFFFFF"/>
                <w:sz w:val="16"/>
              </w:rPr>
              <w:t>Observed facts</w:t>
            </w:r>
          </w:p>
        </w:tc>
        <w:tc>
          <w:tcPr>
            <w:tcW w:type="dxa" w:w="38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17365D"/>
          </w:tcPr>
          <w:p>
            <w:r/>
            <w:r>
              <w:rPr>
                <w:b/>
                <w:color w:val="FFFFFF"/>
                <w:sz w:val="16"/>
              </w:rPr>
              <w:t>Expected policy-agent response</w:t>
            </w:r>
          </w:p>
        </w:tc>
      </w:tr>
      <w:tr>
        <w:tc>
          <w:tcPr>
            <w:tcW w:type="dxa" w:w="230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Collateral pending</w:t>
            </w:r>
          </w:p>
        </w:tc>
        <w:tc>
          <w:tcPr>
            <w:tcW w:type="dxa" w:w="38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Asset sale remains possible.</w:t>
            </w:r>
          </w:p>
        </w:tc>
        <w:tc>
          <w:tcPr>
            <w:tcW w:type="dxa" w:w="38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Assess whether partial/full criteria are met and retain recovery rights.</w:t>
            </w:r>
          </w:p>
        </w:tc>
      </w:tr>
      <w:tr>
        <w:tc>
          <w:tcPr>
            <w:tcW w:type="dxa" w:w="230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Accounting mismatch</w:t>
            </w:r>
          </w:p>
        </w:tc>
        <w:tc>
          <w:tcPr>
            <w:tcW w:type="dxa" w:w="38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Write-off amount exceeds approved provision.</w:t>
            </w:r>
          </w:p>
        </w:tc>
        <w:tc>
          <w:tcPr>
            <w:tcW w:type="dxa" w:w="38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Resolve accounting and approval gap before posting.</w:t>
            </w:r>
          </w:p>
        </w:tc>
      </w:tr>
      <w:tr>
        <w:tc>
          <w:tcPr>
            <w:tcW w:type="dxa" w:w="230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Recovery received</w:t>
            </w:r>
          </w:p>
        </w:tc>
        <w:tc>
          <w:tcPr>
            <w:tcW w:type="dxa" w:w="38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Cash arrives after write-off.</w:t>
            </w:r>
          </w:p>
        </w:tc>
        <w:tc>
          <w:tcPr>
            <w:tcW w:type="dxa" w:w="38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6F8FA"/>
          </w:tcPr>
          <w:p>
            <w:r/>
            <w:r>
              <w:rPr>
                <w:b w:val="0"/>
                <w:color w:val="000000"/>
                <w:sz w:val="16"/>
              </w:rPr>
              <w:t>Record post-write-off recovery and reconcile.</w:t>
            </w:r>
          </w:p>
        </w:tc>
      </w:tr>
      <w:tr>
        <w:tc>
          <w:tcPr>
            <w:tcW w:type="dxa" w:w="2304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Debt waiver confusion</w:t>
            </w:r>
          </w:p>
        </w:tc>
        <w:tc>
          <w:tcPr>
            <w:tcW w:type="dxa" w:w="38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User treats write-off as customer release.</w:t>
            </w:r>
          </w:p>
        </w:tc>
        <w:tc>
          <w:tcPr>
            <w:tcW w:type="dxa" w:w="3888"/>
            <w:vAlign w:val="center"/>
            <w:tcMar>
              <w:top w:w="95" w:type="dxa"/>
              <w:start w:w="95" w:type="dxa"/>
              <w:bottom w:w="95" w:type="dxa"/>
              <w:end w:w="95" w:type="dxa"/>
            </w:tcMar>
            <w:shd w:fill="FFFFFF"/>
          </w:tcPr>
          <w:p>
            <w:r/>
            <w:r>
              <w:rPr>
                <w:b w:val="0"/>
                <w:color w:val="000000"/>
                <w:sz w:val="16"/>
              </w:rPr>
              <w:t>Separate accounting treatment from legal settlement.</w:t>
            </w:r>
          </w:p>
        </w:tc>
      </w:tr>
    </w:tbl>
    <w:p/>
    <w:p>
      <w:pPr>
        <w:pStyle w:val="Heading2"/>
        <w:keepNext/>
      </w:pPr>
      <w:r>
        <w:t>13. Suggested Training Prompts</w:t>
      </w:r>
    </w:p>
    <w:p>
      <w:pPr>
        <w:pStyle w:val="ListBullet"/>
        <w:spacing w:after="40"/>
      </w:pPr>
      <w:r>
        <w:t>Determine whether Write-Off Policy applies and cite the clause.</w:t>
      </w:r>
    </w:p>
    <w:p>
      <w:pPr>
        <w:pStyle w:val="ListBullet"/>
        <w:spacing w:after="40"/>
      </w:pPr>
      <w:r>
        <w:t>Create an evidence checklist for POL-FIN-079.</w:t>
      </w:r>
    </w:p>
    <w:p>
      <w:pPr>
        <w:pStyle w:val="ListBullet"/>
        <w:spacing w:after="40"/>
      </w:pPr>
      <w:r>
        <w:t>Identify compliant, non-compliant, conditional and unresolved findings.</w:t>
      </w:r>
    </w:p>
    <w:p>
      <w:pPr>
        <w:pStyle w:val="ListBullet"/>
        <w:spacing w:after="40"/>
      </w:pPr>
      <w:r>
        <w:t>Show calculations and source lineage for each material metric.</w:t>
      </w:r>
    </w:p>
    <w:p>
      <w:pPr>
        <w:pStyle w:val="ListBullet"/>
        <w:spacing w:after="40"/>
      </w:pPr>
      <w:r>
        <w:t>Draft an exception record without approving it.</w:t>
      </w:r>
    </w:p>
    <w:p>
      <w:pPr>
        <w:pStyle w:val="ListBullet"/>
        <w:spacing w:after="40"/>
      </w:pPr>
      <w:r>
        <w:t>Explain which conclusions require human review.</w:t>
      </w:r>
    </w:p>
    <w:p>
      <w:pPr>
        <w:pStyle w:val="Heading2"/>
        <w:keepNext/>
      </w:pPr>
      <w:r>
        <w:t>14. Approval, Review and Change Control</w:t>
      </w:r>
    </w:p>
    <w:p>
      <w:pPr>
        <w:spacing w:after="100" w:line="259" w:lineRule="auto"/>
      </w:pPr>
      <w:r>
        <w:t>Before production use, replace synthetic roles, formulas, criteria, thresholds, legal references and frequencies with approved values. Changes require impact assessment, approval, versioning, testing, communication and retrieval-index update. Superseded versions remain auditable but shall not be retrieved as current.</w:t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C00000"/>
        <w:sz w:val="16"/>
      </w:rPr>
      <w:t xml:space="preserve">Synthetic training document | Not approved bank policy |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0F6B78"/>
        <w:sz w:val="16"/>
      </w:rPr>
      <w:t>SYNTHETIC TRAINING DATA | CREDIT RISK POLICY HANDBOOK VIII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F6B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7365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48066fd-9395-4325-a4e7-856a23126b8d}" enabled="1" method="Standard" siteId="{404b1967-6507-45ab-8a6d-7374a3f478be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Policy 79: Write-Off Policy</dc:title>
  <dc:subject>Synthetic Credit Risk Policy - standalone training document</dc:subject>
  <dc:creator>Ganesh Perumal</dc:creator>
  <keywords/>
  <dc:description>Extracted from Credit Risk Policy Handbook Policies 71 to 80.</dc:description>
  <lastModifiedBy>Ganesh Perumal</lastModifiedBy>
  <revision>1</revision>
  <dcterms:created xsi:type="dcterms:W3CDTF">2026-09-10T08:42:59.2799740Z</dcterms:created>
  <dcterms:modified xsi:type="dcterms:W3CDTF">2026-09-10T08:42:59.2799740Z</dcterms:modified>
  <category/>
</coreProperties>
</file>