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80: Debt Sale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POL-CR-080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Head of Special Assets / Finance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Sale, assignment or transfer of distressed, delinquent, defaulted, written-off or non-core credit exposures to external buyers.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Govern portfolio selection, valuation, due diligence, conduct, approval, transfer, accounting and post-sale obligations for debt sales.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Sale, assignment or transfer of distressed, delinquent, defaulted, written-off or non-core credit exposures to external buyers.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Debt sale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Transfer of credit rights or economic interest to a buyer.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room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Controlled repository of sale information and documents.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Bid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Buyer proposal including price, perimeter and conditions.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Representations and warranties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Seller statements and obligations in sale documents.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Residual obligation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Continuing seller responsibility after transfer.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Head of Special Assets / Finance.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POL-CR-080.01 Strategic rationale</w:t>
      </w:r>
    </w:p>
    <w:p>
      <w:pPr>
        <w:spacing w:after="100" w:line="259" w:lineRule="auto"/>
      </w:pPr>
      <w:r>
        <w:t>The sale shall have documented purpose, alternatives and expected economic benefit.</w:t>
      </w:r>
    </w:p>
    <w:p>
      <w:pPr>
        <w:keepNext/>
      </w:pPr>
      <w:r>
        <w:rPr>
          <w:b/>
          <w:color w:val="17365D"/>
        </w:rPr>
        <w:t>POL-CR-080.02 Eligibility and perimeter</w:t>
      </w:r>
    </w:p>
    <w:p>
      <w:pPr>
        <w:spacing w:after="100" w:line="259" w:lineRule="auto"/>
      </w:pPr>
      <w:r>
        <w:t>Included and excluded accounts, balances, rights, disputes and restrictions shall be defined.</w:t>
      </w:r>
    </w:p>
    <w:p>
      <w:pPr>
        <w:keepNext/>
      </w:pPr>
      <w:r>
        <w:rPr>
          <w:b/>
          <w:color w:val="17365D"/>
        </w:rPr>
        <w:t>POL-CR-080.03 Customer and conduct</w:t>
      </w:r>
    </w:p>
    <w:p>
      <w:pPr>
        <w:spacing w:after="100" w:line="259" w:lineRule="auto"/>
      </w:pPr>
      <w:r>
        <w:t>Vulnerability, complaints, disputes, communications and applicable customer protections shall be addressed.</w:t>
      </w:r>
    </w:p>
    <w:p>
      <w:pPr>
        <w:keepNext/>
      </w:pPr>
      <w:r>
        <w:rPr>
          <w:b/>
          <w:color w:val="17365D"/>
        </w:rPr>
        <w:t>POL-CR-080.04 Data quality</w:t>
      </w:r>
    </w:p>
    <w:p>
      <w:pPr>
        <w:spacing w:after="100" w:line="259" w:lineRule="auto"/>
      </w:pPr>
      <w:r>
        <w:t>Balances, history, documents, collateral, status and legal rights shall be reconciled.</w:t>
      </w:r>
    </w:p>
    <w:p>
      <w:pPr>
        <w:keepNext/>
      </w:pPr>
      <w:r>
        <w:rPr>
          <w:b/>
          <w:color w:val="17365D"/>
        </w:rPr>
        <w:t>POL-CR-080.05 Privacy and confidentiality</w:t>
      </w:r>
    </w:p>
    <w:p>
      <w:pPr>
        <w:spacing w:after="100" w:line="259" w:lineRule="auto"/>
      </w:pPr>
      <w:r>
        <w:t>Disclosure shall follow lawful purpose, minimization, access and secure data-room controls.</w:t>
      </w:r>
    </w:p>
    <w:p>
      <w:pPr>
        <w:keepNext/>
      </w:pPr>
      <w:r>
        <w:rPr>
          <w:b/>
          <w:color w:val="17365D"/>
        </w:rPr>
        <w:t>POL-CR-080.06 Buyer due diligence</w:t>
      </w:r>
    </w:p>
    <w:p>
      <w:pPr>
        <w:spacing w:after="100" w:line="259" w:lineRule="auto"/>
      </w:pPr>
      <w:r>
        <w:t>Buyer authorization, capability, conduct, funding, reputation and servicing arrangements shall be assessed.</w:t>
      </w:r>
    </w:p>
    <w:p>
      <w:pPr>
        <w:keepNext/>
      </w:pPr>
      <w:r>
        <w:rPr>
          <w:b/>
          <w:color w:val="17365D"/>
        </w:rPr>
        <w:t>POL-CR-080.07 Valuation</w:t>
      </w:r>
    </w:p>
    <w:p>
      <w:pPr>
        <w:spacing w:after="100" w:line="259" w:lineRule="auto"/>
      </w:pPr>
      <w:r>
        <w:t>Expected recovery, timing, cost, uncertainty and alternative strategies shall be compared with bid value.</w:t>
      </w:r>
    </w:p>
    <w:p>
      <w:pPr>
        <w:keepNext/>
      </w:pPr>
      <w:r>
        <w:rPr>
          <w:b/>
          <w:color w:val="17365D"/>
        </w:rPr>
        <w:t>POL-CR-080.08 Competitive process</w:t>
      </w:r>
    </w:p>
    <w:p>
      <w:pPr>
        <w:spacing w:after="100" w:line="259" w:lineRule="auto"/>
      </w:pPr>
      <w:r>
        <w:t>Buyer outreach, bids, conflicts and selection shall follow approved procurement and governance.</w:t>
      </w:r>
    </w:p>
    <w:p>
      <w:pPr>
        <w:keepNext/>
      </w:pPr>
      <w:r>
        <w:rPr>
          <w:b/>
          <w:color w:val="17365D"/>
        </w:rPr>
        <w:t>POL-CR-080.09 Approval</w:t>
      </w:r>
    </w:p>
    <w:p>
      <w:pPr>
        <w:spacing w:after="100" w:line="259" w:lineRule="auto"/>
      </w:pPr>
      <w:r>
        <w:t>Sale price, perimeter, accounting impact, exceptions and legal terms require delegated approval.</w:t>
      </w:r>
    </w:p>
    <w:p>
      <w:pPr>
        <w:keepNext/>
      </w:pPr>
      <w:r>
        <w:rPr>
          <w:b/>
          <w:color w:val="17365D"/>
        </w:rPr>
        <w:t>POL-CR-080.10 Documentation</w:t>
      </w:r>
    </w:p>
    <w:p>
      <w:pPr>
        <w:spacing w:after="100" w:line="259" w:lineRule="auto"/>
      </w:pPr>
      <w:r>
        <w:t>Assignment, notices, warranties, indemnities, servicing transition and data return/destruction shall be controlled.</w:t>
      </w:r>
    </w:p>
    <w:p>
      <w:pPr>
        <w:keepNext/>
      </w:pPr>
      <w:r>
        <w:rPr>
          <w:b/>
          <w:color w:val="17365D"/>
        </w:rPr>
        <w:t>POL-CR-080.11 Accounting and reporting</w:t>
      </w:r>
    </w:p>
    <w:p>
      <w:pPr>
        <w:spacing w:after="100" w:line="259" w:lineRule="auto"/>
      </w:pPr>
      <w:r>
        <w:t>Derecognition, gain/loss, provision, tax and regulatory treatment shall be approved.</w:t>
      </w:r>
    </w:p>
    <w:p>
      <w:pPr>
        <w:keepNext/>
      </w:pPr>
      <w:r>
        <w:rPr>
          <w:b/>
          <w:color w:val="17365D"/>
        </w:rPr>
        <w:t>POL-CR-080.12 Transition</w:t>
      </w:r>
    </w:p>
    <w:p>
      <w:pPr>
        <w:spacing w:after="100" w:line="259" w:lineRule="auto"/>
      </w:pPr>
      <w:r>
        <w:t>Account, payment, complaint, legal and collateral handover shall be reconciled.</w:t>
      </w:r>
    </w:p>
    <w:p>
      <w:pPr>
        <w:keepNext/>
      </w:pPr>
      <w:r>
        <w:rPr>
          <w:b/>
          <w:color w:val="17365D"/>
        </w:rPr>
        <w:t>POL-CR-080.13 Post-sale</w:t>
      </w:r>
    </w:p>
    <w:p>
      <w:pPr>
        <w:spacing w:after="100" w:line="259" w:lineRule="auto"/>
      </w:pPr>
      <w:r>
        <w:t>Residual claims, repurchases, warranties, complaints and buyer conduct shall be monitored.</w:t>
      </w:r>
    </w:p>
    <w:p>
      <w:pPr>
        <w:keepNext/>
      </w:pPr>
      <w:r>
        <w:rPr>
          <w:b/>
          <w:color w:val="17365D"/>
        </w:rPr>
        <w:t>POL-CR-080.14 AI boundary</w:t>
      </w:r>
    </w:p>
    <w:p>
      <w:pPr>
        <w:spacing w:after="100" w:line="259" w:lineRule="auto"/>
      </w:pPr>
      <w:r>
        <w:t>The agent may prepare inventories and compare bids but shall not select buyers, determine legal transfer or approve sale.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DSL-01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Perimeter reconciliation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Validate accounts, balances, rights and exclusions.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sale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Finance / SAM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Sale tape reconciliation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DSL-02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Buyer due diligence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Assess authorization, conduct and capability.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buyer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TPRM / Compliance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Due-diligence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DSL-03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Valuation review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Compare bid with expected net recovery.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bid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Finance /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Valuation paper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DSL-04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Data-room 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Apply access, minimization and audit logging.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During process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Privacy / Legal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Access log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DSL-05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Approval and contract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Validate authority and executed terms.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sale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Committee / Legal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Approval and agreement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DSL-06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Transition/post-sale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Reconcile transfer and monitor residual duties.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sale/ongoing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Operations / SAM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Transition report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Disputed debt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Sale tape includes an unresolved customer dispute.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Apply eligibility and disclosure treatment before sale.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Weak buyer controls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Bidder lacks adequate servicing governance.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Do not select without approved remediation or exclusion.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High bid with warranties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Price depends on broad seller indemnities.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 residual risk and net economics.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Payment after cut-off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Customer pays during transfer period.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Reconcile ownership, allocation and buyer settlement.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Debt Sale Policy applies and cite the clause.</w:t>
      </w:r>
    </w:p>
    <w:p>
      <w:pPr>
        <w:pStyle w:val="ListBullet"/>
        <w:spacing w:after="40"/>
      </w:pPr>
      <w:r>
        <w:t>Create an evidence checklist for POL-CR-080.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80: Debt Sale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2026-09-10T08:43:01.6605714Z</dcterms:created>
  <dcterms:modified xsi:type="dcterms:W3CDTF">2026-09-10T08:43:01.6605714Z</dcterms:modified>
  <category/>
</coreProperties>
</file>