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C845" w14:textId="77777777" w:rsidR="00BD0139" w:rsidRDefault="00213F77">
      <w:pPr>
        <w:jc w:val="center"/>
        <w:rPr>
          <w:rFonts w:hint="eastAsia"/>
        </w:rPr>
      </w:pPr>
      <w:r>
        <w:rPr>
          <w:b/>
          <w:color w:val="2F5597"/>
          <w:sz w:val="24"/>
        </w:rPr>
        <w:t>CREDIT POLICY INTELLIGENCE (CPI)</w:t>
      </w:r>
    </w:p>
    <w:p w14:paraId="339D08F7" w14:textId="77777777" w:rsidR="00BD0139" w:rsidRDefault="00213F77">
      <w:pPr>
        <w:jc w:val="center"/>
        <w:rPr>
          <w:rFonts w:hint="eastAsia"/>
        </w:rPr>
      </w:pPr>
      <w:r>
        <w:rPr>
          <w:b/>
          <w:color w:val="17365D"/>
          <w:sz w:val="50"/>
        </w:rPr>
        <w:t>Codex Enhancement Backlog</w:t>
      </w:r>
    </w:p>
    <w:p w14:paraId="10DF20A1" w14:textId="77777777" w:rsidR="00BD0139" w:rsidRDefault="00213F77">
      <w:pPr>
        <w:jc w:val="center"/>
        <w:rPr>
          <w:rFonts w:hint="eastAsia"/>
        </w:rPr>
      </w:pPr>
      <w:r>
        <w:rPr>
          <w:i/>
          <w:color w:val="595959"/>
          <w:sz w:val="22"/>
        </w:rPr>
        <w:t>Consolidated application modification objectives based on the solution review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D0139" w14:paraId="37707A74" w14:textId="77777777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7674CD72" w14:textId="77777777" w:rsidR="00BD0139" w:rsidRDefault="00213F77">
            <w:pPr>
              <w:rPr>
                <w:rFonts w:hint="eastAsia"/>
              </w:rPr>
            </w:pPr>
            <w:r>
              <w:rPr>
                <w:b/>
              </w:rPr>
              <w:t xml:space="preserve">Scope: </w:t>
            </w:r>
            <w:r>
              <w:t>17 enhancements across dashboard corrections, credit request processing, data consistency, compliance scoring, policy intelligence, rule governance, and Credit Risk Dossier integration. Future RWA/Basel enhancements are excluded.</w:t>
            </w:r>
          </w:p>
        </w:tc>
      </w:tr>
    </w:tbl>
    <w:p w14:paraId="5A06DF86" w14:textId="77777777" w:rsidR="00BD0139" w:rsidRDefault="00213F77">
      <w:pPr>
        <w:rPr>
          <w:rFonts w:hint="eastAsia"/>
        </w:rPr>
      </w:pPr>
      <w:r>
        <w:rPr>
          <w:b/>
          <w:color w:val="1F4E79"/>
        </w:rPr>
        <w:t>Overall objective</w:t>
      </w:r>
    </w:p>
    <w:p w14:paraId="4D9F9F43" w14:textId="77777777" w:rsidR="00BD0139" w:rsidRDefault="00213F77">
      <w:pPr>
        <w:ind w:left="288"/>
        <w:rPr>
          <w:rFonts w:hint="eastAsia"/>
        </w:rPr>
      </w:pPr>
      <w:r>
        <w:t>Transform CPI from a static policy dashboard into a workflow-aware policy compliance platform with stage-based monitoring, auditable request creation, reusable policy-rule inventory, Credit Risk Dossier integration, exception lifecycle management, and explainable AI-driven assessment.</w:t>
      </w:r>
    </w:p>
    <w:p w14:paraId="1D6D72BC" w14:textId="77777777" w:rsidR="00BD0139" w:rsidRDefault="00213F77">
      <w:pPr>
        <w:pStyle w:val="Heading1"/>
      </w:pPr>
      <w:r>
        <w:t>Implementation Overview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D0139" w14:paraId="019E6B4F" w14:textId="77777777" w:rsidTr="00BD01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75C7F90" w14:textId="77777777" w:rsidR="00BD0139" w:rsidRDefault="00213F77">
            <w:pPr>
              <w:rPr>
                <w:rFonts w:hint="eastAsia"/>
              </w:rPr>
            </w:pPr>
            <w:r>
              <w:t>Release wave</w:t>
            </w:r>
          </w:p>
        </w:tc>
        <w:tc>
          <w:tcPr>
            <w:tcW w:w="3360" w:type="dxa"/>
          </w:tcPr>
          <w:p w14:paraId="56DABE0D" w14:textId="77777777" w:rsidR="00BD0139" w:rsidRDefault="00213F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Scope</w:t>
            </w:r>
          </w:p>
        </w:tc>
        <w:tc>
          <w:tcPr>
            <w:tcW w:w="3360" w:type="dxa"/>
          </w:tcPr>
          <w:p w14:paraId="1C38D88F" w14:textId="77777777" w:rsidR="00BD0139" w:rsidRDefault="00213F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Items</w:t>
            </w:r>
          </w:p>
        </w:tc>
      </w:tr>
      <w:tr w:rsidR="00BD0139" w14:paraId="27B70755" w14:textId="77777777" w:rsidTr="00BD0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D47F2A9" w14:textId="77777777" w:rsidR="00BD0139" w:rsidRDefault="00213F77">
            <w:pPr>
              <w:rPr>
                <w:rFonts w:hint="eastAsia"/>
              </w:rPr>
            </w:pPr>
            <w:r>
              <w:t>Release 1</w:t>
            </w:r>
          </w:p>
        </w:tc>
        <w:tc>
          <w:tcPr>
            <w:tcW w:w="3360" w:type="dxa"/>
          </w:tcPr>
          <w:p w14:paraId="7E25AA29" w14:textId="77777777" w:rsidR="00BD0139" w:rsidRDefault="0021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Dashboard and request workflow corrections</w:t>
            </w:r>
          </w:p>
        </w:tc>
        <w:tc>
          <w:tcPr>
            <w:tcW w:w="3360" w:type="dxa"/>
          </w:tcPr>
          <w:p w14:paraId="0DDFC86F" w14:textId="77777777" w:rsidR="00BD0139" w:rsidRDefault="0021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1-7</w:t>
            </w:r>
          </w:p>
        </w:tc>
      </w:tr>
      <w:tr w:rsidR="00BD0139" w14:paraId="1AD19FAA" w14:textId="77777777" w:rsidTr="00BD01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F157B89" w14:textId="77777777" w:rsidR="00BD0139" w:rsidRDefault="00213F77">
            <w:pPr>
              <w:rPr>
                <w:rFonts w:hint="eastAsia"/>
              </w:rPr>
            </w:pPr>
            <w:r>
              <w:t>Release 2</w:t>
            </w:r>
          </w:p>
        </w:tc>
        <w:tc>
          <w:tcPr>
            <w:tcW w:w="3360" w:type="dxa"/>
          </w:tcPr>
          <w:p w14:paraId="563EC570" w14:textId="77777777" w:rsidR="00BD0139" w:rsidRDefault="0021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Compliance engine and policy intelligence redesign</w:t>
            </w:r>
          </w:p>
        </w:tc>
        <w:tc>
          <w:tcPr>
            <w:tcW w:w="3360" w:type="dxa"/>
          </w:tcPr>
          <w:p w14:paraId="5AC0EEB1" w14:textId="77777777" w:rsidR="00BD0139" w:rsidRDefault="0021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8-12</w:t>
            </w:r>
          </w:p>
        </w:tc>
      </w:tr>
      <w:tr w:rsidR="00BD0139" w14:paraId="1FFA746C" w14:textId="77777777" w:rsidTr="00BD0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695620" w14:textId="77777777" w:rsidR="00BD0139" w:rsidRDefault="00213F77">
            <w:pPr>
              <w:rPr>
                <w:rFonts w:hint="eastAsia"/>
              </w:rPr>
            </w:pPr>
            <w:r>
              <w:t>Release 3</w:t>
            </w:r>
          </w:p>
        </w:tc>
        <w:tc>
          <w:tcPr>
            <w:tcW w:w="3360" w:type="dxa"/>
          </w:tcPr>
          <w:p w14:paraId="27EE564E" w14:textId="77777777" w:rsidR="00BD0139" w:rsidRDefault="0021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Policy-rule inventory and Credit Risk Dossier integration</w:t>
            </w:r>
          </w:p>
        </w:tc>
        <w:tc>
          <w:tcPr>
            <w:tcW w:w="3360" w:type="dxa"/>
          </w:tcPr>
          <w:p w14:paraId="7DA2C214" w14:textId="77777777" w:rsidR="00BD0139" w:rsidRDefault="00213F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13-17</w:t>
            </w:r>
          </w:p>
        </w:tc>
      </w:tr>
    </w:tbl>
    <w:p w14:paraId="2FF0CF38" w14:textId="77777777" w:rsidR="00BD0139" w:rsidRDefault="00213F77">
      <w:pPr>
        <w:pStyle w:val="Heading1"/>
      </w:pPr>
      <w:r>
        <w:t>Priority 1 - Dashboard Corrections</w:t>
      </w:r>
    </w:p>
    <w:p w14:paraId="523B0B2B" w14:textId="77777777" w:rsidR="00BD0139" w:rsidRDefault="00213F77">
      <w:pPr>
        <w:pStyle w:val="Heading2"/>
      </w:pPr>
      <w:r>
        <w:t>1. Replace "Exceptions by Industry" with "Exceptions by Workflow Stage"</w:t>
      </w:r>
    </w:p>
    <w:p w14:paraId="51BD70D5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24A84433" w14:textId="77777777" w:rsidR="00BD0139" w:rsidRDefault="00213F77">
      <w:pPr>
        <w:rPr>
          <w:rFonts w:hint="eastAsia"/>
        </w:rPr>
      </w:pPr>
      <w:r>
        <w:t>Relationship Managers and Credit Analysts are commonly aligned to specific industries, so an industry-level split provides limited operational insight at their level.</w:t>
      </w:r>
    </w:p>
    <w:p w14:paraId="721350F4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51643966" w14:textId="77777777" w:rsidR="00BD0139" w:rsidRDefault="00213F77">
      <w:pPr>
        <w:pStyle w:val="ListBullet"/>
        <w:spacing w:after="40"/>
        <w:rPr>
          <w:rFonts w:hint="eastAsia"/>
        </w:rPr>
      </w:pPr>
      <w:r>
        <w:t>Remove the "Open Exceptions by Industry" visualization.</w:t>
      </w:r>
    </w:p>
    <w:p w14:paraId="53FC2F59" w14:textId="77777777" w:rsidR="00BD0139" w:rsidRDefault="00213F77">
      <w:pPr>
        <w:pStyle w:val="ListBullet"/>
        <w:spacing w:after="40"/>
        <w:rPr>
          <w:rFonts w:hint="eastAsia"/>
        </w:rPr>
      </w:pPr>
      <w:r>
        <w:t>Add an "Exceptions by Workflow Stage" visualization.</w:t>
      </w:r>
    </w:p>
    <w:p w14:paraId="5302816C" w14:textId="77777777" w:rsidR="00BD0139" w:rsidRDefault="00213F77">
      <w:pPr>
        <w:pStyle w:val="ListBullet"/>
        <w:spacing w:after="40"/>
        <w:rPr>
          <w:rFonts w:hint="eastAsia"/>
        </w:rPr>
      </w:pPr>
      <w:r>
        <w:t>Support stages such as Initial Document Collection, Financial Analysis, Credit Assessment, Collateral Verification, Approval Authority Review, Limits Management, Documentation Completion, and Disbursement Readiness.</w:t>
      </w:r>
    </w:p>
    <w:p w14:paraId="5020CB8E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597AB0D6" w14:textId="77777777" w:rsidR="00BD0139" w:rsidRDefault="00213F77">
      <w:pPr>
        <w:rPr>
          <w:rFonts w:hint="eastAsia"/>
        </w:rPr>
      </w:pPr>
      <w:r>
        <w:t>Enable users to identify the credit-lifecycle stages where exceptions and policy breaches originate.</w:t>
      </w:r>
    </w:p>
    <w:p w14:paraId="089052A1" w14:textId="77777777" w:rsidR="00BD0139" w:rsidRDefault="00213F77">
      <w:pPr>
        <w:pStyle w:val="Heading2"/>
      </w:pPr>
      <w:r>
        <w:t>2. Display Policy Names Instead of Policy Codes</w:t>
      </w:r>
    </w:p>
    <w:p w14:paraId="00BB1121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2A6031F9" w14:textId="77777777" w:rsidR="00BD0139" w:rsidRDefault="00213F77">
      <w:pPr>
        <w:rPr>
          <w:rFonts w:hint="eastAsia"/>
        </w:rPr>
      </w:pPr>
      <w:r>
        <w:t>Policy codes alone are not sufficiently meaningful for business users.</w:t>
      </w:r>
    </w:p>
    <w:p w14:paraId="601C7228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01E9F6A4" w14:textId="77777777" w:rsidR="00BD0139" w:rsidRDefault="00213F77">
      <w:pPr>
        <w:pStyle w:val="ListBullet"/>
        <w:spacing w:after="40"/>
        <w:rPr>
          <w:rFonts w:hint="eastAsia"/>
        </w:rPr>
      </w:pPr>
      <w:r>
        <w:t>Replace code-only labels such as POL-001 with business-friendly policy names.</w:t>
      </w:r>
    </w:p>
    <w:p w14:paraId="5F836EEA" w14:textId="77777777" w:rsidR="00BD0139" w:rsidRDefault="00213F77">
      <w:pPr>
        <w:pStyle w:val="ListBullet"/>
        <w:spacing w:after="40"/>
        <w:rPr>
          <w:rFonts w:hint="eastAsia"/>
        </w:rPr>
      </w:pPr>
      <w:r>
        <w:t>Retain the policy code as secondary information, tooltip text, or metadata where useful.</w:t>
      </w:r>
    </w:p>
    <w:p w14:paraId="292E8549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5D239AD6" w14:textId="77777777" w:rsidR="00BD0139" w:rsidRDefault="00213F77">
      <w:pPr>
        <w:rPr>
          <w:rFonts w:hint="eastAsia"/>
        </w:rPr>
      </w:pPr>
      <w:r>
        <w:t>Ensure business users can understand violated policies without decoding identifiers.</w:t>
      </w:r>
    </w:p>
    <w:p w14:paraId="4B308D10" w14:textId="77777777" w:rsidR="00BD0139" w:rsidRDefault="00213F77">
      <w:pPr>
        <w:pStyle w:val="Heading2"/>
      </w:pPr>
      <w:r>
        <w:t>3. Remove IFRS 9 Stage Exposure Distribution</w:t>
      </w:r>
    </w:p>
    <w:p w14:paraId="1C1A3D0C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19A0F2C4" w14:textId="77777777" w:rsidR="00BD0139" w:rsidRDefault="00213F77">
      <w:pPr>
        <w:rPr>
          <w:rFonts w:hint="eastAsia"/>
        </w:rPr>
      </w:pPr>
      <w:r>
        <w:t>IFRS 9 staging is relevant after loan approval or disbursement, while the current dashboard focuses on applications and pipeline requests.</w:t>
      </w:r>
    </w:p>
    <w:p w14:paraId="5A973C6D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0C2512AE" w14:textId="77777777" w:rsidR="00BD0139" w:rsidRDefault="00213F77">
      <w:pPr>
        <w:pStyle w:val="ListBullet"/>
        <w:spacing w:after="40"/>
        <w:rPr>
          <w:rFonts w:hint="eastAsia"/>
        </w:rPr>
      </w:pPr>
      <w:r>
        <w:t>Remove the Stage 1, Stage 2, and Stage 3 exposure distribution chart.</w:t>
      </w:r>
    </w:p>
    <w:p w14:paraId="4E49EBD4" w14:textId="77777777" w:rsidR="00BD0139" w:rsidRDefault="00213F77">
      <w:pPr>
        <w:pStyle w:val="ListBullet"/>
        <w:spacing w:after="40"/>
        <w:rPr>
          <w:rFonts w:hint="eastAsia"/>
        </w:rPr>
      </w:pPr>
      <w:r>
        <w:t>Do not replace it with an RWA calculator in the current scope.</w:t>
      </w:r>
    </w:p>
    <w:p w14:paraId="36CE3ACC" w14:textId="77777777" w:rsidR="00BD0139" w:rsidRDefault="00213F77">
      <w:pPr>
        <w:pStyle w:val="ListBullet"/>
        <w:spacing w:after="40"/>
        <w:rPr>
          <w:rFonts w:hint="eastAsia"/>
        </w:rPr>
      </w:pPr>
      <w:r>
        <w:t>Reallocate the dashboard space to policy-exception or workflow-stage insights.</w:t>
      </w:r>
    </w:p>
    <w:p w14:paraId="1D7A70CA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53F97853" w14:textId="77777777" w:rsidR="00BD0139" w:rsidRDefault="00213F77">
      <w:pPr>
        <w:rPr>
          <w:rFonts w:hint="eastAsia"/>
        </w:rPr>
      </w:pPr>
      <w:r>
        <w:t>Keep the dashboard aligned to the solution's policy intelligence and application-stage purpose.</w:t>
      </w:r>
    </w:p>
    <w:p w14:paraId="3ABDC878" w14:textId="77777777" w:rsidR="00BD0139" w:rsidRDefault="00213F77">
      <w:pPr>
        <w:pStyle w:val="Heading1"/>
      </w:pPr>
      <w:r>
        <w:t>Priority 2 - Credit Request Process Improvements</w:t>
      </w:r>
    </w:p>
    <w:p w14:paraId="4FAEBD40" w14:textId="77777777" w:rsidR="00BD0139" w:rsidRDefault="00213F77">
      <w:pPr>
        <w:pStyle w:val="Heading2"/>
      </w:pPr>
      <w:r>
        <w:t>4. Reuse the Credit Risk Dossier Document Upload Experience</w:t>
      </w:r>
    </w:p>
    <w:p w14:paraId="5C80B878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628A3617" w14:textId="77777777" w:rsidR="00BD0139" w:rsidRDefault="00213F77">
      <w:pPr>
        <w:rPr>
          <w:rFonts w:hint="eastAsia"/>
        </w:rPr>
      </w:pPr>
      <w:r>
        <w:t>A credit request should retain evidence of how the customer request was received and what documentation supported its creation.</w:t>
      </w:r>
    </w:p>
    <w:p w14:paraId="1A23C218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6B0423CE" w14:textId="77777777" w:rsidR="00BD0139" w:rsidRDefault="00213F77">
      <w:pPr>
        <w:pStyle w:val="ListBullet"/>
        <w:spacing w:after="40"/>
        <w:rPr>
          <w:rFonts w:hint="eastAsia"/>
        </w:rPr>
      </w:pPr>
      <w:r>
        <w:t>Reuse the Credit Risk Dossier document-upload UI and, where feasible, its underlying components.</w:t>
      </w:r>
    </w:p>
    <w:p w14:paraId="04656908" w14:textId="77777777" w:rsidR="00BD0139" w:rsidRDefault="00213F77">
      <w:pPr>
        <w:pStyle w:val="ListBullet"/>
        <w:spacing w:after="40"/>
        <w:rPr>
          <w:rFonts w:hint="eastAsia"/>
        </w:rPr>
      </w:pPr>
      <w:r>
        <w:t>Allow upload of the customer request email in PDF form.</w:t>
      </w:r>
    </w:p>
    <w:p w14:paraId="453F9F48" w14:textId="77777777" w:rsidR="00BD0139" w:rsidRDefault="00213F77">
      <w:pPr>
        <w:pStyle w:val="ListBullet"/>
        <w:spacing w:after="40"/>
        <w:rPr>
          <w:rFonts w:hint="eastAsia"/>
        </w:rPr>
      </w:pPr>
      <w:r>
        <w:t>Allow upload of supporting request documents, financial statements, and other evidence.</w:t>
      </w:r>
    </w:p>
    <w:p w14:paraId="02882310" w14:textId="77777777" w:rsidR="00BD0139" w:rsidRDefault="00213F77">
      <w:pPr>
        <w:pStyle w:val="ListBullet"/>
        <w:spacing w:after="40"/>
        <w:rPr>
          <w:rFonts w:hint="eastAsia"/>
        </w:rPr>
      </w:pPr>
      <w:r>
        <w:t>Associate uploaded evidence with the credit request and preserve it for auditability.</w:t>
      </w:r>
    </w:p>
    <w:p w14:paraId="4AC29CEE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4F6FB358" w14:textId="77777777" w:rsidR="00BD0139" w:rsidRDefault="00213F77">
      <w:pPr>
        <w:rPr>
          <w:rFonts w:hint="eastAsia"/>
        </w:rPr>
      </w:pPr>
      <w:r>
        <w:t>Provide a consistent, auditable intake experience while simplifying future CPI and Credit Risk Dossier integration.</w:t>
      </w:r>
    </w:p>
    <w:p w14:paraId="5B987E02" w14:textId="77777777" w:rsidR="00BD0139" w:rsidRDefault="00213F77">
      <w:pPr>
        <w:pStyle w:val="Heading2"/>
      </w:pPr>
      <w:r>
        <w:t>5. Auto-Extract Initial Application Information</w:t>
      </w:r>
    </w:p>
    <w:p w14:paraId="227CDC34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442B5A42" w14:textId="77777777" w:rsidR="00BD0139" w:rsidRDefault="00213F77">
      <w:pPr>
        <w:rPr>
          <w:rFonts w:hint="eastAsia"/>
        </w:rPr>
      </w:pPr>
      <w:r>
        <w:t>Uploaded evidence should reduce manual entry while preserving user control.</w:t>
      </w:r>
    </w:p>
    <w:p w14:paraId="196F222C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58AD78A4" w14:textId="77777777" w:rsidR="00BD0139" w:rsidRDefault="00213F77">
      <w:pPr>
        <w:pStyle w:val="ListBullet"/>
        <w:spacing w:after="40"/>
        <w:rPr>
          <w:rFonts w:hint="eastAsia"/>
        </w:rPr>
      </w:pPr>
      <w:r>
        <w:t>Extract customer name, requested amount, facility type, request date, industry, and supporting-document details.</w:t>
      </w:r>
    </w:p>
    <w:p w14:paraId="0DC77232" w14:textId="77777777" w:rsidR="00BD0139" w:rsidRDefault="00213F77">
      <w:pPr>
        <w:pStyle w:val="ListBullet"/>
        <w:spacing w:after="40"/>
        <w:rPr>
          <w:rFonts w:hint="eastAsia"/>
        </w:rPr>
      </w:pPr>
      <w:r>
        <w:t>Prepopulate the credit request form using extracted values.</w:t>
      </w:r>
    </w:p>
    <w:p w14:paraId="003E3EC8" w14:textId="77777777" w:rsidR="00BD0139" w:rsidRDefault="00213F77">
      <w:pPr>
        <w:pStyle w:val="ListBullet"/>
        <w:spacing w:after="40"/>
        <w:rPr>
          <w:rFonts w:hint="eastAsia"/>
        </w:rPr>
      </w:pPr>
      <w:r>
        <w:t>Allow authorized users to review and override extracted values.</w:t>
      </w:r>
    </w:p>
    <w:p w14:paraId="60918891" w14:textId="77777777" w:rsidR="00BD0139" w:rsidRDefault="00213F77">
      <w:pPr>
        <w:pStyle w:val="ListBullet"/>
        <w:spacing w:after="40"/>
        <w:rPr>
          <w:rFonts w:hint="eastAsia"/>
        </w:rPr>
      </w:pPr>
      <w:r>
        <w:t>Record extracted and user-overridden values for traceability.</w:t>
      </w:r>
    </w:p>
    <w:p w14:paraId="40E74C6D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3281AFE5" w14:textId="77777777" w:rsidR="00BD0139" w:rsidRDefault="00213F77">
      <w:pPr>
        <w:rPr>
          <w:rFonts w:hint="eastAsia"/>
        </w:rPr>
      </w:pPr>
      <w:r>
        <w:t>Accelerate request creation without compromising accuracy or auditability.</w:t>
      </w:r>
    </w:p>
    <w:p w14:paraId="61EFAF22" w14:textId="77777777" w:rsidR="00BD0139" w:rsidRDefault="00213F77">
      <w:pPr>
        <w:pStyle w:val="Heading1"/>
      </w:pPr>
      <w:r>
        <w:t>Priority 3 - Data Consistency Improvements</w:t>
      </w:r>
    </w:p>
    <w:p w14:paraId="032D2AC1" w14:textId="77777777" w:rsidR="00BD0139" w:rsidRDefault="00213F77">
      <w:pPr>
        <w:pStyle w:val="Heading2"/>
      </w:pPr>
      <w:r>
        <w:t>6. Align Dashboard Numbers Across the Application</w:t>
      </w:r>
    </w:p>
    <w:p w14:paraId="2EFE2C8E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740DC097" w14:textId="77777777" w:rsidR="00BD0139" w:rsidRDefault="00213F77">
      <w:pPr>
        <w:rPr>
          <w:rFonts w:hint="eastAsia"/>
        </w:rPr>
      </w:pPr>
      <w:r>
        <w:t>Counts displayed on the executive dashboard and credit request screens must use the same business definitions and underlying data.</w:t>
      </w:r>
    </w:p>
    <w:p w14:paraId="46DAB2E7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1E427B1F" w14:textId="77777777" w:rsidR="00BD0139" w:rsidRDefault="00213F77">
      <w:pPr>
        <w:pStyle w:val="ListBullet"/>
        <w:spacing w:after="40"/>
        <w:rPr>
          <w:rFonts w:hint="eastAsia"/>
        </w:rPr>
      </w:pPr>
      <w:r>
        <w:t>Define common statuses for Active, Closed, Approved, Rejected, Cancelled, and Withdrawn requests.</w:t>
      </w:r>
    </w:p>
    <w:p w14:paraId="3B6E7642" w14:textId="77777777" w:rsidR="00BD0139" w:rsidRDefault="00213F77">
      <w:pPr>
        <w:pStyle w:val="ListBullet"/>
        <w:spacing w:after="40"/>
        <w:rPr>
          <w:rFonts w:hint="eastAsia"/>
        </w:rPr>
      </w:pPr>
      <w:r>
        <w:t>Use a shared query or service for counts across all screens.</w:t>
      </w:r>
    </w:p>
    <w:p w14:paraId="3D35B7E1" w14:textId="77777777" w:rsidR="00BD0139" w:rsidRDefault="00213F77">
      <w:pPr>
        <w:pStyle w:val="ListBullet"/>
        <w:spacing w:after="40"/>
        <w:rPr>
          <w:rFonts w:hint="eastAsia"/>
        </w:rPr>
      </w:pPr>
      <w:r>
        <w:t>Ensure a newly created or status-updated request is reflected consistently.</w:t>
      </w:r>
    </w:p>
    <w:p w14:paraId="18DF2F97" w14:textId="77777777" w:rsidR="00BD0139" w:rsidRDefault="00213F77">
      <w:pPr>
        <w:pStyle w:val="ListBullet"/>
        <w:spacing w:after="40"/>
        <w:rPr>
          <w:rFonts w:hint="eastAsia"/>
        </w:rPr>
      </w:pPr>
      <w:r>
        <w:t>Add tests that reconcile dashboard totals with request-list totals.</w:t>
      </w:r>
    </w:p>
    <w:p w14:paraId="3C08C986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65AF2A53" w14:textId="77777777" w:rsidR="00BD0139" w:rsidRDefault="00213F77">
      <w:pPr>
        <w:rPr>
          <w:rFonts w:hint="eastAsia"/>
        </w:rPr>
      </w:pPr>
      <w:r>
        <w:t>Eliminate contradictory figures and improve confidence during customer demonstrations.</w:t>
      </w:r>
    </w:p>
    <w:p w14:paraId="0D9235FE" w14:textId="77777777" w:rsidR="00BD0139" w:rsidRDefault="00213F77">
      <w:pPr>
        <w:pStyle w:val="Heading2"/>
      </w:pPr>
      <w:r>
        <w:t>7. Separate Active and Archived Requests</w:t>
      </w:r>
    </w:p>
    <w:p w14:paraId="4ACE4BCD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0A70B6CF" w14:textId="77777777" w:rsidR="00BD0139" w:rsidRDefault="00213F77">
      <w:pPr>
        <w:rPr>
          <w:rFonts w:hint="eastAsia"/>
        </w:rPr>
      </w:pPr>
      <w:r>
        <w:t>Completed requests should not remain in the operational queue or create an ever-increasing active total.</w:t>
      </w:r>
    </w:p>
    <w:p w14:paraId="1275C2E9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30421FB3" w14:textId="77777777" w:rsidR="00BD0139" w:rsidRDefault="00213F77">
      <w:pPr>
        <w:pStyle w:val="ListBullet"/>
        <w:spacing w:after="40"/>
        <w:rPr>
          <w:rFonts w:hint="eastAsia"/>
        </w:rPr>
      </w:pPr>
      <w:r>
        <w:t>Create an Active Requests tab containing New, Pending, Under Review, Exception Pending, and Escalated requests.</w:t>
      </w:r>
    </w:p>
    <w:p w14:paraId="583DE72C" w14:textId="77777777" w:rsidR="00BD0139" w:rsidRDefault="00213F77">
      <w:pPr>
        <w:pStyle w:val="ListBullet"/>
        <w:spacing w:after="40"/>
        <w:rPr>
          <w:rFonts w:hint="eastAsia"/>
        </w:rPr>
      </w:pPr>
      <w:r>
        <w:t>Create an Archive Requests tab containing Approved, Rejected, Cancelled, and Withdrawn requests.</w:t>
      </w:r>
    </w:p>
    <w:p w14:paraId="77E21ACF" w14:textId="77777777" w:rsidR="00BD0139" w:rsidRDefault="00213F77">
      <w:pPr>
        <w:pStyle w:val="ListBullet"/>
        <w:spacing w:after="40"/>
        <w:rPr>
          <w:rFonts w:hint="eastAsia"/>
        </w:rPr>
      </w:pPr>
      <w:r>
        <w:t>Add date-range filtering to the archive.</w:t>
      </w:r>
    </w:p>
    <w:p w14:paraId="275D875D" w14:textId="77777777" w:rsidR="00BD0139" w:rsidRDefault="00213F77">
      <w:pPr>
        <w:pStyle w:val="ListBullet"/>
        <w:spacing w:after="40"/>
        <w:rPr>
          <w:rFonts w:hint="eastAsia"/>
        </w:rPr>
      </w:pPr>
      <w:r>
        <w:t>Exclude archived records from active dashboard metrics.</w:t>
      </w:r>
    </w:p>
    <w:p w14:paraId="45BE20A0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20DE5250" w14:textId="77777777" w:rsidR="00BD0139" w:rsidRDefault="00213F77">
      <w:pPr>
        <w:rPr>
          <w:rFonts w:hint="eastAsia"/>
        </w:rPr>
      </w:pPr>
      <w:r>
        <w:t>Keep the current-work queue focused while retaining historical records for reference and audit.</w:t>
      </w:r>
    </w:p>
    <w:p w14:paraId="672A6659" w14:textId="77777777" w:rsidR="00BD0139" w:rsidRDefault="00213F77">
      <w:pPr>
        <w:rPr>
          <w:rFonts w:hint="eastAsia"/>
        </w:rPr>
      </w:pPr>
      <w:r>
        <w:br w:type="page"/>
      </w:r>
    </w:p>
    <w:p w14:paraId="73EBEE6F" w14:textId="77777777" w:rsidR="00BD0139" w:rsidRDefault="00213F77">
      <w:pPr>
        <w:pStyle w:val="Heading1"/>
      </w:pPr>
      <w:r>
        <w:t>Priority 4 - Compliance Score Redesign</w:t>
      </w:r>
    </w:p>
    <w:p w14:paraId="367D0AE2" w14:textId="77777777" w:rsidR="00BD0139" w:rsidRDefault="00213F77">
      <w:pPr>
        <w:pStyle w:val="Heading2"/>
      </w:pPr>
      <w:r>
        <w:t>8. Introduce Stage-Based Compliance Scoring</w:t>
      </w:r>
    </w:p>
    <w:p w14:paraId="6EF64483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17CB01BC" w14:textId="77777777" w:rsidR="00BD0139" w:rsidRDefault="00213F77">
      <w:pPr>
        <w:rPr>
          <w:rFonts w:hint="eastAsia"/>
        </w:rPr>
      </w:pPr>
      <w:r>
        <w:t>Compliance requirements change as a request progresses, so a single score calculated only at initiation can be misleading.</w:t>
      </w:r>
    </w:p>
    <w:p w14:paraId="6F5051CC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0AFA52DB" w14:textId="77777777" w:rsidR="00BD0139" w:rsidRDefault="00213F77">
      <w:pPr>
        <w:pStyle w:val="ListBullet"/>
        <w:spacing w:after="40"/>
        <w:rPr>
          <w:rFonts w:hint="eastAsia"/>
        </w:rPr>
      </w:pPr>
      <w:r>
        <w:t>Define stages for Request Initiation, Document Collection, Financial Analysis, Collateral Assessment, Approval Review, and Decision.</w:t>
      </w:r>
    </w:p>
    <w:p w14:paraId="4498DF49" w14:textId="77777777" w:rsidR="00BD0139" w:rsidRDefault="00213F77">
      <w:pPr>
        <w:pStyle w:val="ListBullet"/>
        <w:spacing w:after="40"/>
        <w:rPr>
          <w:rFonts w:hint="eastAsia"/>
        </w:rPr>
      </w:pPr>
      <w:r>
        <w:t>For each stage, configure required checks, documents, validation rules, weightings, and completion criteria.</w:t>
      </w:r>
    </w:p>
    <w:p w14:paraId="28D7B241" w14:textId="77777777" w:rsidR="00BD0139" w:rsidRDefault="00213F77">
      <w:pPr>
        <w:pStyle w:val="ListBullet"/>
        <w:spacing w:after="40"/>
        <w:rPr>
          <w:rFonts w:hint="eastAsia"/>
        </w:rPr>
      </w:pPr>
      <w:r>
        <w:t>Calculate both the current-stage score and overall journey score.</w:t>
      </w:r>
    </w:p>
    <w:p w14:paraId="68E9D495" w14:textId="77777777" w:rsidR="00BD0139" w:rsidRDefault="00213F77">
      <w:pPr>
        <w:pStyle w:val="ListBullet"/>
        <w:spacing w:after="40"/>
        <w:rPr>
          <w:rFonts w:hint="eastAsia"/>
        </w:rPr>
      </w:pPr>
      <w:r>
        <w:t>Recalculate scores when workflow stage, request data, evidence, or rule results change.</w:t>
      </w:r>
    </w:p>
    <w:p w14:paraId="23A2FF70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63B72FA5" w14:textId="77777777" w:rsidR="00BD0139" w:rsidRDefault="00213F77">
      <w:pPr>
        <w:rPr>
          <w:rFonts w:hint="eastAsia"/>
        </w:rPr>
      </w:pPr>
      <w:r>
        <w:t>Make compliance scoring relevant to the request's current lifecycle stage.</w:t>
      </w:r>
    </w:p>
    <w:p w14:paraId="16908297" w14:textId="77777777" w:rsidR="00BD0139" w:rsidRDefault="00213F77">
      <w:pPr>
        <w:pStyle w:val="Heading2"/>
      </w:pPr>
      <w:r>
        <w:t>9. Build a Compliance Journey Visualization</w:t>
      </w:r>
    </w:p>
    <w:p w14:paraId="2E365142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4B3C535B" w14:textId="77777777" w:rsidR="00BD0139" w:rsidRDefault="00213F77">
      <w:pPr>
        <w:rPr>
          <w:rFonts w:hint="eastAsia"/>
        </w:rPr>
      </w:pPr>
      <w:r>
        <w:t>Users need to see how compliance improves or deteriorates through the lifecycle.</w:t>
      </w:r>
    </w:p>
    <w:p w14:paraId="2F2B30C3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224EC0DA" w14:textId="77777777" w:rsidR="00BD0139" w:rsidRDefault="00213F77">
      <w:pPr>
        <w:pStyle w:val="ListBullet"/>
        <w:spacing w:after="40"/>
        <w:rPr>
          <w:rFonts w:hint="eastAsia"/>
        </w:rPr>
      </w:pPr>
      <w:r>
        <w:t>Show the progression of compliance scores across completed and current workflow stages.</w:t>
      </w:r>
    </w:p>
    <w:p w14:paraId="41BF3E9C" w14:textId="77777777" w:rsidR="00BD0139" w:rsidRDefault="00213F77">
      <w:pPr>
        <w:pStyle w:val="ListBullet"/>
        <w:spacing w:after="40"/>
        <w:rPr>
          <w:rFonts w:hint="eastAsia"/>
        </w:rPr>
      </w:pPr>
      <w:r>
        <w:t>Display missing requirements and unresolved breaches at each stage.</w:t>
      </w:r>
    </w:p>
    <w:p w14:paraId="0E945F8C" w14:textId="77777777" w:rsidR="00BD0139" w:rsidRDefault="00213F77">
      <w:pPr>
        <w:pStyle w:val="ListBullet"/>
        <w:spacing w:after="40"/>
        <w:rPr>
          <w:rFonts w:hint="eastAsia"/>
        </w:rPr>
      </w:pPr>
      <w:r>
        <w:t>Show timestamps or assessment versions for score changes.</w:t>
      </w:r>
    </w:p>
    <w:p w14:paraId="33D78959" w14:textId="77777777" w:rsidR="00BD0139" w:rsidRDefault="00213F77">
      <w:pPr>
        <w:pStyle w:val="ListBullet"/>
        <w:spacing w:after="40"/>
        <w:rPr>
          <w:rFonts w:hint="eastAsia"/>
        </w:rPr>
      </w:pPr>
      <w:r>
        <w:t>Allow selection of a stage to view the checks contributing to its score.</w:t>
      </w:r>
    </w:p>
    <w:p w14:paraId="248F54CB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69489950" w14:textId="77777777" w:rsidR="00BD0139" w:rsidRDefault="00213F77">
      <w:pPr>
        <w:rPr>
          <w:rFonts w:hint="eastAsia"/>
        </w:rPr>
      </w:pPr>
      <w:r>
        <w:t>Provide a transparent view of compliance progression and outstanding requirements.</w:t>
      </w:r>
    </w:p>
    <w:p w14:paraId="1A5B3280" w14:textId="77777777" w:rsidR="00BD0139" w:rsidRDefault="00213F77">
      <w:pPr>
        <w:pStyle w:val="Heading2"/>
      </w:pPr>
      <w:r>
        <w:t>10. Make Compliance Thresholds Workflow-Aware</w:t>
      </w:r>
    </w:p>
    <w:p w14:paraId="2FAEB21D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3645CB79" w14:textId="77777777" w:rsidR="00BD0139" w:rsidRDefault="00213F77">
      <w:pPr>
        <w:rPr>
          <w:rFonts w:hint="eastAsia"/>
        </w:rPr>
      </w:pPr>
      <w:r>
        <w:t>The benchmark for document completeness and policy conformance differs between initiation, review, and approval.</w:t>
      </w:r>
    </w:p>
    <w:p w14:paraId="714CED39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6CEFD39F" w14:textId="77777777" w:rsidR="00BD0139" w:rsidRDefault="00213F77">
      <w:pPr>
        <w:pStyle w:val="ListBullet"/>
        <w:spacing w:after="40"/>
        <w:rPr>
          <w:rFonts w:hint="eastAsia"/>
        </w:rPr>
      </w:pPr>
      <w:r>
        <w:t>Create a Stage Rule Library containing stage, required controls, required documents, validation checks, weightings, and minimum score.</w:t>
      </w:r>
    </w:p>
    <w:p w14:paraId="04764EA9" w14:textId="77777777" w:rsidR="00BD0139" w:rsidRDefault="00213F77">
      <w:pPr>
        <w:pStyle w:val="ListBullet"/>
        <w:spacing w:after="40"/>
        <w:rPr>
          <w:rFonts w:hint="eastAsia"/>
        </w:rPr>
      </w:pPr>
      <w:r>
        <w:t>Evaluate only rules applicable to the current stage while preserving visibility of future-stage requirements.</w:t>
      </w:r>
    </w:p>
    <w:p w14:paraId="2532C4AE" w14:textId="77777777" w:rsidR="00BD0139" w:rsidRDefault="00213F77">
      <w:pPr>
        <w:pStyle w:val="ListBullet"/>
        <w:spacing w:after="40"/>
        <w:rPr>
          <w:rFonts w:hint="eastAsia"/>
        </w:rPr>
      </w:pPr>
      <w:r>
        <w:t>Make thresholds configurable rather than hard-coded.</w:t>
      </w:r>
    </w:p>
    <w:p w14:paraId="03A1E7A3" w14:textId="77777777" w:rsidR="00BD0139" w:rsidRDefault="00213F77">
      <w:pPr>
        <w:pStyle w:val="ListBullet"/>
        <w:spacing w:after="40"/>
        <w:rPr>
          <w:rFonts w:hint="eastAsia"/>
        </w:rPr>
      </w:pPr>
      <w:r>
        <w:t>Require the approval-stage outcome to meet the configured approval threshold or proceed through an approved exception.</w:t>
      </w:r>
    </w:p>
    <w:p w14:paraId="4F5F94AF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2BA10924" w14:textId="77777777" w:rsidR="00BD0139" w:rsidRDefault="00213F77">
      <w:pPr>
        <w:rPr>
          <w:rFonts w:hint="eastAsia"/>
        </w:rPr>
      </w:pPr>
      <w:r>
        <w:t>Apply the correct compliance benchmark at the correct point in the workflow.</w:t>
      </w:r>
    </w:p>
    <w:p w14:paraId="7700B31A" w14:textId="77777777" w:rsidR="00BD0139" w:rsidRDefault="00213F77">
      <w:pPr>
        <w:pStyle w:val="Heading1"/>
      </w:pPr>
      <w:r>
        <w:t>Priority 5 - Policy Intelligence Enhancements</w:t>
      </w:r>
    </w:p>
    <w:p w14:paraId="5B981368" w14:textId="77777777" w:rsidR="00BD0139" w:rsidRDefault="00213F77">
      <w:pPr>
        <w:pStyle w:val="Heading2"/>
      </w:pPr>
      <w:r>
        <w:t>11. Convert Mapped Controls into a Searchable, Expandable List</w:t>
      </w:r>
    </w:p>
    <w:p w14:paraId="3595D83E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29413301" w14:textId="77777777" w:rsidR="00BD0139" w:rsidRDefault="00213F77">
      <w:pPr>
        <w:rPr>
          <w:rFonts w:hint="eastAsia"/>
        </w:rPr>
      </w:pPr>
      <w:r>
        <w:t>Showing one control at a time makes it difficult to understand all controls mapped to a policy.</w:t>
      </w:r>
    </w:p>
    <w:p w14:paraId="4C84D349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7EF36C02" w14:textId="77777777" w:rsidR="00BD0139" w:rsidRDefault="00213F77">
      <w:pPr>
        <w:pStyle w:val="ListBullet"/>
        <w:spacing w:after="40"/>
        <w:rPr>
          <w:rFonts w:hint="eastAsia"/>
        </w:rPr>
      </w:pPr>
      <w:r>
        <w:t>Display all mapped controls in a list or table.</w:t>
      </w:r>
    </w:p>
    <w:p w14:paraId="63A39F95" w14:textId="77777777" w:rsidR="00BD0139" w:rsidRDefault="00213F77">
      <w:pPr>
        <w:pStyle w:val="ListBullet"/>
        <w:spacing w:after="40"/>
        <w:rPr>
          <w:rFonts w:hint="eastAsia"/>
        </w:rPr>
      </w:pPr>
      <w:r>
        <w:t>Include Control ID, Control Name, Type, Frequency, Owner, Effectiveness, and Automation Status.</w:t>
      </w:r>
    </w:p>
    <w:p w14:paraId="63499909" w14:textId="77777777" w:rsidR="00BD0139" w:rsidRDefault="00213F77">
      <w:pPr>
        <w:pStyle w:val="ListBullet"/>
        <w:spacing w:after="40"/>
        <w:rPr>
          <w:rFonts w:hint="eastAsia"/>
        </w:rPr>
      </w:pPr>
      <w:r>
        <w:t>Add search, filter, sort, expand/collapse, and pagination where required.</w:t>
      </w:r>
    </w:p>
    <w:p w14:paraId="2EC84EBB" w14:textId="77777777" w:rsidR="00BD0139" w:rsidRDefault="00213F77">
      <w:pPr>
        <w:pStyle w:val="ListBullet"/>
        <w:spacing w:after="40"/>
        <w:rPr>
          <w:rFonts w:hint="eastAsia"/>
        </w:rPr>
      </w:pPr>
      <w:r>
        <w:t>Show the total mapped-control count and keep it synchronized with the displayed data.</w:t>
      </w:r>
    </w:p>
    <w:p w14:paraId="796387D5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7AB209E4" w14:textId="77777777" w:rsidR="00BD0139" w:rsidRDefault="00213F77">
      <w:pPr>
        <w:rPr>
          <w:rFonts w:hint="eastAsia"/>
        </w:rPr>
      </w:pPr>
      <w:r>
        <w:t>Give users a complete and usable view of controls associated with the selected policy.</w:t>
      </w:r>
    </w:p>
    <w:p w14:paraId="6EAD8FC0" w14:textId="77777777" w:rsidR="00BD0139" w:rsidRDefault="00213F77">
      <w:pPr>
        <w:pStyle w:val="Heading2"/>
      </w:pPr>
      <w:r>
        <w:t>12. Add Policy Applicability Explanations</w:t>
      </w:r>
    </w:p>
    <w:p w14:paraId="3B2961A7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55EE23EF" w14:textId="77777777" w:rsidR="00BD0139" w:rsidRDefault="00213F77">
      <w:pPr>
        <w:rPr>
          <w:rFonts w:hint="eastAsia"/>
        </w:rPr>
      </w:pPr>
      <w:r>
        <w:t>Users should see not only which policies apply to a credit request, but also why each policy applies.</w:t>
      </w:r>
    </w:p>
    <w:p w14:paraId="581F9B74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6C482B1F" w14:textId="77777777" w:rsidR="00BD0139" w:rsidRDefault="00213F77">
      <w:pPr>
        <w:pStyle w:val="ListBullet"/>
        <w:spacing w:after="40"/>
        <w:rPr>
          <w:rFonts w:hint="eastAsia"/>
        </w:rPr>
      </w:pPr>
      <w:r>
        <w:t>For every applicable policy, display the applicability reason.</w:t>
      </w:r>
    </w:p>
    <w:p w14:paraId="3C160851" w14:textId="77777777" w:rsidR="00BD0139" w:rsidRDefault="00213F77">
      <w:pPr>
        <w:pStyle w:val="ListBullet"/>
        <w:spacing w:after="40"/>
        <w:rPr>
          <w:rFonts w:hint="eastAsia"/>
        </w:rPr>
      </w:pPr>
      <w:r>
        <w:t>Link the reason to request attributes, facility characteristics, stage, customer data, or calculated metrics.</w:t>
      </w:r>
    </w:p>
    <w:p w14:paraId="10AEAC03" w14:textId="77777777" w:rsidR="00BD0139" w:rsidRDefault="00213F77">
      <w:pPr>
        <w:pStyle w:val="ListBullet"/>
        <w:spacing w:after="40"/>
        <w:rPr>
          <w:rFonts w:hint="eastAsia"/>
        </w:rPr>
      </w:pPr>
      <w:r>
        <w:t>Show source evidence and evaluated values where available.</w:t>
      </w:r>
    </w:p>
    <w:p w14:paraId="2D430D1F" w14:textId="77777777" w:rsidR="00BD0139" w:rsidRDefault="00213F77">
      <w:pPr>
        <w:pStyle w:val="ListBullet"/>
        <w:spacing w:after="40"/>
        <w:rPr>
          <w:rFonts w:hint="eastAsia"/>
        </w:rPr>
      </w:pPr>
      <w:r>
        <w:t>Differentiate applicable, not applicable, passed, warning, and breached outcomes.</w:t>
      </w:r>
    </w:p>
    <w:p w14:paraId="2166D989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6E70DC9E" w14:textId="77777777" w:rsidR="00BD0139" w:rsidRDefault="00213F77">
      <w:pPr>
        <w:rPr>
          <w:rFonts w:hint="eastAsia"/>
        </w:rPr>
      </w:pPr>
      <w:r>
        <w:t>Make AI-assisted policy assessment understandable, reviewable, and defensible.</w:t>
      </w:r>
    </w:p>
    <w:p w14:paraId="0A37501D" w14:textId="77777777" w:rsidR="00BD0139" w:rsidRDefault="00213F77">
      <w:pPr>
        <w:rPr>
          <w:rFonts w:hint="eastAsia"/>
        </w:rPr>
      </w:pPr>
      <w:r>
        <w:br w:type="page"/>
      </w:r>
    </w:p>
    <w:p w14:paraId="60F0BADC" w14:textId="77777777" w:rsidR="00BD0139" w:rsidRDefault="00213F77">
      <w:pPr>
        <w:pStyle w:val="Heading1"/>
      </w:pPr>
      <w:r>
        <w:t>Priority 6 - Compliance Rule Library</w:t>
      </w:r>
    </w:p>
    <w:p w14:paraId="32C8B3B7" w14:textId="77777777" w:rsidR="00BD0139" w:rsidRDefault="00213F77">
      <w:pPr>
        <w:pStyle w:val="Heading2"/>
      </w:pPr>
      <w:r>
        <w:t>13. Build a Policy Rule Inventory Repository</w:t>
      </w:r>
    </w:p>
    <w:p w14:paraId="3C64FDD3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73169FE1" w14:textId="77777777" w:rsidR="00BD0139" w:rsidRDefault="00213F77">
      <w:pPr>
        <w:rPr>
          <w:rFonts w:hint="eastAsia"/>
        </w:rPr>
      </w:pPr>
      <w:r>
        <w:t>Policy checks should be generated, reviewed, stored, and reused rather than recreated differently for every assessment.</w:t>
      </w:r>
    </w:p>
    <w:p w14:paraId="7CD9AAB9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68FBEC69" w14:textId="77777777" w:rsidR="00BD0139" w:rsidRDefault="00213F77">
      <w:pPr>
        <w:pStyle w:val="ListBullet"/>
        <w:spacing w:after="40"/>
        <w:rPr>
          <w:rFonts w:hint="eastAsia"/>
        </w:rPr>
      </w:pPr>
      <w:r>
        <w:t>Create a Policy Rule Library module.</w:t>
      </w:r>
    </w:p>
    <w:p w14:paraId="21A77E89" w14:textId="77777777" w:rsidR="00BD0139" w:rsidRDefault="00213F77">
      <w:pPr>
        <w:pStyle w:val="ListBullet"/>
        <w:spacing w:after="40"/>
        <w:rPr>
          <w:rFonts w:hint="eastAsia"/>
        </w:rPr>
      </w:pPr>
      <w:r>
        <w:t>Store Policy, Rule, Check, Metric, Threshold, Stage Applicable, Severity, Data Source, Calculation Logic, and Evidence Requirements.</w:t>
      </w:r>
    </w:p>
    <w:p w14:paraId="001E0552" w14:textId="77777777" w:rsidR="00BD0139" w:rsidRDefault="00213F77">
      <w:pPr>
        <w:pStyle w:val="ListBullet"/>
        <w:spacing w:after="40"/>
        <w:rPr>
          <w:rFonts w:hint="eastAsia"/>
        </w:rPr>
      </w:pPr>
      <w:r>
        <w:t>Map multiple rules to each policy and multiple policies to a request.</w:t>
      </w:r>
    </w:p>
    <w:p w14:paraId="50276559" w14:textId="77777777" w:rsidR="00BD0139" w:rsidRDefault="00213F77">
      <w:pPr>
        <w:pStyle w:val="ListBullet"/>
        <w:spacing w:after="40"/>
        <w:rPr>
          <w:rFonts w:hint="eastAsia"/>
        </w:rPr>
      </w:pPr>
      <w:r>
        <w:t>Support rule activation, deactivation, search, filtering, and traceability.</w:t>
      </w:r>
    </w:p>
    <w:p w14:paraId="1EDBC572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266D44E6" w14:textId="77777777" w:rsidR="00BD0139" w:rsidRDefault="00213F77">
      <w:pPr>
        <w:rPr>
          <w:rFonts w:hint="eastAsia"/>
        </w:rPr>
      </w:pPr>
      <w:r>
        <w:t>Create a controlled source of reusable policy checks for consistent assessments.</w:t>
      </w:r>
    </w:p>
    <w:p w14:paraId="17DFCB96" w14:textId="77777777" w:rsidR="00BD0139" w:rsidRDefault="00213F77">
      <w:pPr>
        <w:pStyle w:val="Heading2"/>
      </w:pPr>
      <w:r>
        <w:t>14. Implement Human-in-the-Loop Rule Approval</w:t>
      </w:r>
    </w:p>
    <w:p w14:paraId="608568AD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08AADE52" w14:textId="77777777" w:rsidR="00BD0139" w:rsidRDefault="00213F77">
      <w:pPr>
        <w:rPr>
          <w:rFonts w:hint="eastAsia"/>
        </w:rPr>
      </w:pPr>
      <w:r>
        <w:t>AI-generated policy checks require business validation before they become operational rules.</w:t>
      </w:r>
    </w:p>
    <w:p w14:paraId="1ABA4693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4BFB08C4" w14:textId="77777777" w:rsidR="00BD0139" w:rsidRDefault="00213F77">
      <w:pPr>
        <w:pStyle w:val="ListBullet"/>
        <w:spacing w:after="40"/>
        <w:rPr>
          <w:rFonts w:hint="eastAsia"/>
        </w:rPr>
      </w:pPr>
      <w:r>
        <w:t>Allow AI to propose policy rules and checks.</w:t>
      </w:r>
    </w:p>
    <w:p w14:paraId="534A4F49" w14:textId="77777777" w:rsidR="00BD0139" w:rsidRDefault="00213F77">
      <w:pPr>
        <w:pStyle w:val="ListBullet"/>
        <w:spacing w:after="40"/>
        <w:rPr>
          <w:rFonts w:hint="eastAsia"/>
        </w:rPr>
      </w:pPr>
      <w:r>
        <w:t>Route proposed rules through Draft, Under Review, Approved, Rejected, and Retired statuses.</w:t>
      </w:r>
    </w:p>
    <w:p w14:paraId="3532FB4E" w14:textId="77777777" w:rsidR="00BD0139" w:rsidRDefault="00213F77">
      <w:pPr>
        <w:pStyle w:val="ListBullet"/>
        <w:spacing w:after="40"/>
        <w:rPr>
          <w:rFonts w:hint="eastAsia"/>
        </w:rPr>
      </w:pPr>
      <w:r>
        <w:t>Permit authorized business reviewers to edit, approve, reject, and comment.</w:t>
      </w:r>
    </w:p>
    <w:p w14:paraId="54428A3A" w14:textId="77777777" w:rsidR="00BD0139" w:rsidRDefault="00213F77">
      <w:pPr>
        <w:pStyle w:val="ListBullet"/>
        <w:spacing w:after="40"/>
        <w:rPr>
          <w:rFonts w:hint="eastAsia"/>
        </w:rPr>
      </w:pPr>
      <w:r>
        <w:t>Use only approved rules for production compliance assessment.</w:t>
      </w:r>
    </w:p>
    <w:p w14:paraId="3B64B88A" w14:textId="77777777" w:rsidR="00BD0139" w:rsidRDefault="00213F77">
      <w:pPr>
        <w:pStyle w:val="ListBullet"/>
        <w:spacing w:after="40"/>
        <w:rPr>
          <w:rFonts w:hint="eastAsia"/>
        </w:rPr>
      </w:pPr>
      <w:r>
        <w:t>Trigger regeneration or review when the underlying policy changes.</w:t>
      </w:r>
    </w:p>
    <w:p w14:paraId="2358FE5D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7FC8EA56" w14:textId="77777777" w:rsidR="00BD0139" w:rsidRDefault="00213F77">
      <w:pPr>
        <w:rPr>
          <w:rFonts w:hint="eastAsia"/>
        </w:rPr>
      </w:pPr>
      <w:r>
        <w:t>Combine AI acceleration with business ownership, consistency, and accountability.</w:t>
      </w:r>
    </w:p>
    <w:p w14:paraId="0AEA6A27" w14:textId="77777777" w:rsidR="00BD0139" w:rsidRDefault="00213F77">
      <w:pPr>
        <w:pStyle w:val="Heading2"/>
      </w:pPr>
      <w:r>
        <w:t>15. Add Versioned Policy Rule Management</w:t>
      </w:r>
    </w:p>
    <w:p w14:paraId="3A27FA8B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1C68D18E" w14:textId="77777777" w:rsidR="00BD0139" w:rsidRDefault="00213F77">
      <w:pPr>
        <w:rPr>
          <w:rFonts w:hint="eastAsia"/>
        </w:rPr>
      </w:pPr>
      <w:r>
        <w:t>Policy rules require governance across versions and effective periods.</w:t>
      </w:r>
    </w:p>
    <w:p w14:paraId="5D1F1107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533D89B2" w14:textId="77777777" w:rsidR="00BD0139" w:rsidRDefault="00213F77">
      <w:pPr>
        <w:pStyle w:val="ListBullet"/>
        <w:spacing w:after="40"/>
        <w:rPr>
          <w:rFonts w:hint="eastAsia"/>
        </w:rPr>
      </w:pPr>
      <w:r>
        <w:t>Capture rule version, policy version, effective-from date, effective-to date, approval status, approved by, approval date, and change rationale.</w:t>
      </w:r>
    </w:p>
    <w:p w14:paraId="62DC8A99" w14:textId="77777777" w:rsidR="00BD0139" w:rsidRDefault="00213F77">
      <w:pPr>
        <w:pStyle w:val="ListBullet"/>
        <w:spacing w:after="40"/>
        <w:rPr>
          <w:rFonts w:hint="eastAsia"/>
        </w:rPr>
      </w:pPr>
      <w:r>
        <w:t>Prevent historical assessments from being recalculated using newer rule versions unless explicitly requested.</w:t>
      </w:r>
    </w:p>
    <w:p w14:paraId="7043835B" w14:textId="77777777" w:rsidR="00BD0139" w:rsidRDefault="00213F77">
      <w:pPr>
        <w:pStyle w:val="ListBullet"/>
        <w:spacing w:after="40"/>
        <w:rPr>
          <w:rFonts w:hint="eastAsia"/>
        </w:rPr>
      </w:pPr>
      <w:r>
        <w:t>Maintain an audit history of rule changes and approvals.</w:t>
      </w:r>
    </w:p>
    <w:p w14:paraId="060ECE51" w14:textId="77777777" w:rsidR="00BD0139" w:rsidRDefault="00213F77">
      <w:pPr>
        <w:pStyle w:val="ListBullet"/>
        <w:spacing w:after="40"/>
        <w:rPr>
          <w:rFonts w:hint="eastAsia"/>
        </w:rPr>
      </w:pPr>
      <w:r>
        <w:t>Identify the exact rule version used for every assessment finding.</w:t>
      </w:r>
    </w:p>
    <w:p w14:paraId="35F4F189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701F2D93" w14:textId="77777777" w:rsidR="00BD0139" w:rsidRDefault="00213F77">
      <w:pPr>
        <w:rPr>
          <w:rFonts w:hint="eastAsia"/>
        </w:rPr>
      </w:pPr>
      <w:r>
        <w:t>Ensure reproducibility, auditability, and controlled policy-rule evolution.</w:t>
      </w:r>
    </w:p>
    <w:p w14:paraId="10CF17A3" w14:textId="77777777" w:rsidR="00BD0139" w:rsidRDefault="00213F77">
      <w:pPr>
        <w:pStyle w:val="Heading1"/>
      </w:pPr>
      <w:r>
        <w:t>Priority 7 - Integration Readiness</w:t>
      </w:r>
    </w:p>
    <w:p w14:paraId="3A03E0B5" w14:textId="77777777" w:rsidR="00BD0139" w:rsidRDefault="00213F77">
      <w:pPr>
        <w:pStyle w:val="Heading2"/>
      </w:pPr>
      <w:r>
        <w:t>16. Create the Credit Risk Dossier Integration Layer</w:t>
      </w:r>
    </w:p>
    <w:p w14:paraId="6A0320BD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39E81D6E" w14:textId="77777777" w:rsidR="00BD0139" w:rsidRDefault="00213F77">
      <w:pPr>
        <w:rPr>
          <w:rFonts w:hint="eastAsia"/>
        </w:rPr>
      </w:pPr>
      <w:r>
        <w:t>CPI policy checks rely on financial, qualitative, quantitative, and credit-risk information captured in Credit Risk Dossier or equivalent bank systems.</w:t>
      </w:r>
    </w:p>
    <w:p w14:paraId="19AAEC6B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31D28831" w14:textId="77777777" w:rsidR="00BD0139" w:rsidRDefault="00213F77">
      <w:pPr>
        <w:pStyle w:val="ListBullet"/>
        <w:spacing w:after="40"/>
        <w:rPr>
          <w:rFonts w:hint="eastAsia"/>
        </w:rPr>
      </w:pPr>
      <w:r>
        <w:t>Define an integration contract for financial spreading outputs, credit memo data, risk rating, industry analysis, qualitative assessment, quantitative assessment, and credit recommendation.</w:t>
      </w:r>
    </w:p>
    <w:p w14:paraId="33DBE1F0" w14:textId="77777777" w:rsidR="00BD0139" w:rsidRDefault="00213F77">
      <w:pPr>
        <w:pStyle w:val="ListBullet"/>
        <w:spacing w:after="40"/>
        <w:rPr>
          <w:rFonts w:hint="eastAsia"/>
        </w:rPr>
      </w:pPr>
      <w:r>
        <w:t>Map incoming fields to CPI request attributes and policy-rule metrics.</w:t>
      </w:r>
    </w:p>
    <w:p w14:paraId="267D1020" w14:textId="77777777" w:rsidR="00BD0139" w:rsidRDefault="00213F77">
      <w:pPr>
        <w:pStyle w:val="ListBullet"/>
        <w:spacing w:after="40"/>
        <w:rPr>
          <w:rFonts w:hint="eastAsia"/>
        </w:rPr>
      </w:pPr>
      <w:r>
        <w:t>Show source-system and last-refresh information for imported data.</w:t>
      </w:r>
    </w:p>
    <w:p w14:paraId="06CB66A1" w14:textId="77777777" w:rsidR="00BD0139" w:rsidRDefault="00213F77">
      <w:pPr>
        <w:pStyle w:val="ListBullet"/>
        <w:spacing w:after="40"/>
        <w:rPr>
          <w:rFonts w:hint="eastAsia"/>
        </w:rPr>
      </w:pPr>
      <w:r>
        <w:t>Handle missing, stale, invalid, and conflicting data explicitly.</w:t>
      </w:r>
    </w:p>
    <w:p w14:paraId="5025B3CD" w14:textId="77777777" w:rsidR="00BD0139" w:rsidRDefault="00213F77">
      <w:pPr>
        <w:pStyle w:val="ListBullet"/>
        <w:spacing w:after="40"/>
        <w:rPr>
          <w:rFonts w:hint="eastAsia"/>
        </w:rPr>
      </w:pPr>
      <w:r>
        <w:t>Support a mock adapter for demonstrations and a replaceable connector for customer environments.</w:t>
      </w:r>
    </w:p>
    <w:p w14:paraId="07D7A105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36B0FCA3" w14:textId="77777777" w:rsidR="00BD0139" w:rsidRDefault="00213F77">
      <w:pPr>
        <w:rPr>
          <w:rFonts w:hint="eastAsia"/>
        </w:rPr>
      </w:pPr>
      <w:r>
        <w:t>Allow CPI to consume authoritative risk information without duplicating the complete Credit Risk Dossier capability.</w:t>
      </w:r>
    </w:p>
    <w:p w14:paraId="7F6C9AA2" w14:textId="77777777" w:rsidR="00BD0139" w:rsidRDefault="00213F77">
      <w:pPr>
        <w:pStyle w:val="Heading2"/>
      </w:pPr>
      <w:r>
        <w:t>17. Use the Credit Memo as an Input Source</w:t>
      </w:r>
    </w:p>
    <w:p w14:paraId="109E0254" w14:textId="77777777" w:rsidR="00BD0139" w:rsidRDefault="00213F77">
      <w:pPr>
        <w:pStyle w:val="Objective"/>
        <w:rPr>
          <w:rFonts w:hint="eastAsia"/>
        </w:rPr>
      </w:pPr>
      <w:r>
        <w:t>Context / rationale</w:t>
      </w:r>
    </w:p>
    <w:p w14:paraId="02FC698C" w14:textId="77777777" w:rsidR="00BD0139" w:rsidRDefault="00213F77">
      <w:pPr>
        <w:rPr>
          <w:rFonts w:hint="eastAsia"/>
        </w:rPr>
      </w:pPr>
      <w:r>
        <w:t>Where direct system integration is unavailable, the generated credit memo can provide a consolidated input to policy assessment.</w:t>
      </w:r>
    </w:p>
    <w:p w14:paraId="732DED31" w14:textId="77777777" w:rsidR="00BD0139" w:rsidRDefault="00213F77">
      <w:pPr>
        <w:pStyle w:val="Action"/>
        <w:rPr>
          <w:rFonts w:hint="eastAsia"/>
        </w:rPr>
      </w:pPr>
      <w:r>
        <w:t>Required changes</w:t>
      </w:r>
    </w:p>
    <w:p w14:paraId="74826055" w14:textId="77777777" w:rsidR="00BD0139" w:rsidRDefault="00213F77">
      <w:pPr>
        <w:pStyle w:val="ListBullet"/>
        <w:spacing w:after="40"/>
        <w:rPr>
          <w:rFonts w:hint="eastAsia"/>
        </w:rPr>
      </w:pPr>
      <w:r>
        <w:t>Allow upload and processing of Credit Memo PDF and DOCX files.</w:t>
      </w:r>
    </w:p>
    <w:p w14:paraId="3F17CC7C" w14:textId="77777777" w:rsidR="00BD0139" w:rsidRDefault="00213F77">
      <w:pPr>
        <w:pStyle w:val="ListBullet"/>
        <w:spacing w:after="40"/>
        <w:rPr>
          <w:rFonts w:hint="eastAsia"/>
        </w:rPr>
      </w:pPr>
      <w:r>
        <w:t>Extract relevant metrics, ratios, risk factors, recommendations, and supporting facts.</w:t>
      </w:r>
    </w:p>
    <w:p w14:paraId="19CBD47E" w14:textId="77777777" w:rsidR="00BD0139" w:rsidRDefault="00213F77">
      <w:pPr>
        <w:pStyle w:val="ListBullet"/>
        <w:spacing w:after="40"/>
        <w:rPr>
          <w:rFonts w:hint="eastAsia"/>
        </w:rPr>
      </w:pPr>
      <w:r>
        <w:t>Map extracted values to approved policy rules and compliance checks.</w:t>
      </w:r>
    </w:p>
    <w:p w14:paraId="04EF68AA" w14:textId="77777777" w:rsidR="00BD0139" w:rsidRDefault="00213F77">
      <w:pPr>
        <w:pStyle w:val="ListBullet"/>
        <w:spacing w:after="40"/>
        <w:rPr>
          <w:rFonts w:hint="eastAsia"/>
        </w:rPr>
      </w:pPr>
      <w:r>
        <w:t>Allow users to validate or correct extracted data before assessment.</w:t>
      </w:r>
    </w:p>
    <w:p w14:paraId="790F7524" w14:textId="77777777" w:rsidR="00BD0139" w:rsidRDefault="00213F77">
      <w:pPr>
        <w:pStyle w:val="ListBullet"/>
        <w:spacing w:after="40"/>
        <w:rPr>
          <w:rFonts w:hint="eastAsia"/>
        </w:rPr>
      </w:pPr>
      <w:r>
        <w:t>Retain document references and evidence links with resulting findings.</w:t>
      </w:r>
    </w:p>
    <w:p w14:paraId="47D90322" w14:textId="77777777" w:rsidR="00BD0139" w:rsidRDefault="00213F77">
      <w:pPr>
        <w:pStyle w:val="Objective"/>
        <w:rPr>
          <w:rFonts w:hint="eastAsia"/>
        </w:rPr>
      </w:pPr>
      <w:r>
        <w:t>Acceptance objective</w:t>
      </w:r>
    </w:p>
    <w:p w14:paraId="172CE724" w14:textId="77777777" w:rsidR="00BD0139" w:rsidRDefault="00213F77">
      <w:pPr>
        <w:rPr>
          <w:rFonts w:hint="eastAsia"/>
        </w:rPr>
      </w:pPr>
      <w:r>
        <w:t>Provide a practical integration path while maintaining traceability from findings to source evidence.</w:t>
      </w:r>
    </w:p>
    <w:p w14:paraId="634E8378" w14:textId="77777777" w:rsidR="00BD0139" w:rsidRDefault="00213F77">
      <w:pPr>
        <w:pStyle w:val="Heading1"/>
      </w:pPr>
      <w:r>
        <w:t>Codex Delivery Instructions</w:t>
      </w:r>
    </w:p>
    <w:p w14:paraId="54E99F67" w14:textId="77777777" w:rsidR="00BD0139" w:rsidRDefault="00213F77">
      <w:pPr>
        <w:pStyle w:val="ListBullet"/>
        <w:spacing w:after="40"/>
        <w:rPr>
          <w:rFonts w:hint="eastAsia"/>
        </w:rPr>
      </w:pPr>
      <w:r>
        <w:t>Implement the backlog incrementally by release wave and keep each change independently testable.</w:t>
      </w:r>
    </w:p>
    <w:p w14:paraId="6A7348A6" w14:textId="77777777" w:rsidR="00BD0139" w:rsidRDefault="00213F77">
      <w:pPr>
        <w:pStyle w:val="ListBullet"/>
        <w:spacing w:after="40"/>
        <w:rPr>
          <w:rFonts w:hint="eastAsia"/>
        </w:rPr>
      </w:pPr>
      <w:r>
        <w:t>Preserve existing working functionality unless a backlog item explicitly replaces it.</w:t>
      </w:r>
    </w:p>
    <w:p w14:paraId="1E0938F3" w14:textId="77777777" w:rsidR="00BD0139" w:rsidRDefault="00213F77">
      <w:pPr>
        <w:pStyle w:val="ListBullet"/>
        <w:spacing w:after="40"/>
        <w:rPr>
          <w:rFonts w:hint="eastAsia"/>
        </w:rPr>
      </w:pPr>
      <w:r>
        <w:t>Use shared domain models and common services for status definitions, counts, workflow stages, assessments, and policy rules.</w:t>
      </w:r>
    </w:p>
    <w:p w14:paraId="1CBB51CE" w14:textId="77777777" w:rsidR="00BD0139" w:rsidRDefault="00213F77">
      <w:pPr>
        <w:pStyle w:val="ListBullet"/>
        <w:spacing w:after="40"/>
        <w:rPr>
          <w:rFonts w:hint="eastAsia"/>
        </w:rPr>
      </w:pPr>
      <w:r>
        <w:t>Add unit, integration, and UI tests for changed logic, especially request counts, stage transitions, scoring, rule versioning, and evidence traceability.</w:t>
      </w:r>
    </w:p>
    <w:p w14:paraId="336BBC13" w14:textId="77777777" w:rsidR="00BD0139" w:rsidRDefault="00213F77">
      <w:pPr>
        <w:pStyle w:val="ListBullet"/>
        <w:spacing w:after="40"/>
        <w:rPr>
          <w:rFonts w:hint="eastAsia"/>
        </w:rPr>
      </w:pPr>
      <w:r>
        <w:t>Use configuration for stages, statuses, rules, thresholds, and weightings where possible rather than embedding constants in the UI.</w:t>
      </w:r>
    </w:p>
    <w:p w14:paraId="45788BFF" w14:textId="77777777" w:rsidR="00BD0139" w:rsidRDefault="00213F77">
      <w:pPr>
        <w:pStyle w:val="ListBullet"/>
        <w:spacing w:after="40"/>
        <w:rPr>
          <w:rFonts w:hint="eastAsia"/>
        </w:rPr>
      </w:pPr>
      <w:r>
        <w:t>Provide database migrations and seed data for any new entities or fields.</w:t>
      </w:r>
    </w:p>
    <w:p w14:paraId="727D663B" w14:textId="77777777" w:rsidR="00BD0139" w:rsidRDefault="00213F77">
      <w:pPr>
        <w:pStyle w:val="ListBullet"/>
        <w:spacing w:after="40"/>
        <w:rPr>
          <w:rFonts w:hint="eastAsia"/>
        </w:rPr>
      </w:pPr>
      <w:r>
        <w:t>Document APIs, data models, environment variables, assumptions, and any mock integrations introduced.</w:t>
      </w:r>
    </w:p>
    <w:p w14:paraId="0832FBC5" w14:textId="77777777" w:rsidR="00BD0139" w:rsidRDefault="00213F77">
      <w:pPr>
        <w:pStyle w:val="ListBullet"/>
        <w:spacing w:after="40"/>
        <w:rPr>
          <w:rFonts w:hint="eastAsia"/>
        </w:rPr>
      </w:pPr>
      <w:r>
        <w:t>Do not implement the excluded RWA, standardized approach, or Basel capital calculation capabilities in this change set.</w:t>
      </w:r>
    </w:p>
    <w:p w14:paraId="145C4A81" w14:textId="77777777" w:rsidR="00BD0139" w:rsidRDefault="00213F77">
      <w:pPr>
        <w:pStyle w:val="Heading1"/>
      </w:pPr>
      <w:r>
        <w:t>Definition of Done</w:t>
      </w:r>
    </w:p>
    <w:p w14:paraId="1F570D9C" w14:textId="77777777" w:rsidR="00BD0139" w:rsidRDefault="00213F77">
      <w:pPr>
        <w:pStyle w:val="ListBullet"/>
        <w:spacing w:after="40"/>
        <w:rPr>
          <w:rFonts w:hint="eastAsia"/>
        </w:rPr>
      </w:pPr>
      <w:r>
        <w:t>All 17 backlog items are implemented or explicitly marked as deferred with a documented dependency.</w:t>
      </w:r>
    </w:p>
    <w:p w14:paraId="476A083D" w14:textId="77777777" w:rsidR="00BD0139" w:rsidRDefault="00213F77">
      <w:pPr>
        <w:pStyle w:val="ListBullet"/>
        <w:spacing w:after="40"/>
        <w:rPr>
          <w:rFonts w:hint="eastAsia"/>
        </w:rPr>
      </w:pPr>
      <w:r>
        <w:t>Dashboard and request counts reconcile using agreed business-status definitions.</w:t>
      </w:r>
    </w:p>
    <w:p w14:paraId="4C74FDDC" w14:textId="77777777" w:rsidR="00BD0139" w:rsidRDefault="00213F77">
      <w:pPr>
        <w:pStyle w:val="ListBullet"/>
        <w:spacing w:after="40"/>
        <w:rPr>
          <w:rFonts w:hint="eastAsia"/>
        </w:rPr>
      </w:pPr>
      <w:r>
        <w:t>Compliance scores and checks are stage-aware and explainable.</w:t>
      </w:r>
    </w:p>
    <w:p w14:paraId="1C1ECC03" w14:textId="77777777" w:rsidR="00BD0139" w:rsidRDefault="00213F77">
      <w:pPr>
        <w:pStyle w:val="ListBullet"/>
        <w:spacing w:after="40"/>
        <w:rPr>
          <w:rFonts w:hint="eastAsia"/>
        </w:rPr>
      </w:pPr>
      <w:r>
        <w:t>Only approved, effective policy-rule versions drive assessments.</w:t>
      </w:r>
    </w:p>
    <w:p w14:paraId="1F7EC47A" w14:textId="77777777" w:rsidR="00BD0139" w:rsidRDefault="00213F77">
      <w:pPr>
        <w:pStyle w:val="ListBullet"/>
        <w:spacing w:after="40"/>
        <w:rPr>
          <w:rFonts w:hint="eastAsia"/>
        </w:rPr>
      </w:pPr>
      <w:r>
        <w:t>Every finding can be traced to a rule, rule version, evaluated value, and source evidence.</w:t>
      </w:r>
    </w:p>
    <w:p w14:paraId="7E0F0272" w14:textId="77777777" w:rsidR="00BD0139" w:rsidRDefault="00213F77">
      <w:pPr>
        <w:pStyle w:val="ListBullet"/>
        <w:spacing w:after="40"/>
        <w:rPr>
          <w:rFonts w:hint="eastAsia"/>
        </w:rPr>
      </w:pPr>
      <w:r>
        <w:t>Credit Risk Dossier data or uploaded credit memo data can populate the assessment input model.</w:t>
      </w:r>
    </w:p>
    <w:p w14:paraId="16E78B16" w14:textId="77777777" w:rsidR="00BD0139" w:rsidRDefault="00213F77">
      <w:pPr>
        <w:pStyle w:val="ListBullet"/>
        <w:spacing w:after="40"/>
        <w:rPr>
          <w:rFonts w:hint="eastAsia"/>
        </w:rPr>
      </w:pPr>
      <w:r>
        <w:t>Regression tests pass and the revised application is ready for a structured business review.</w:t>
      </w:r>
    </w:p>
    <w:p w14:paraId="67D63D4F" w14:textId="77777777" w:rsidR="00BD0139" w:rsidRDefault="00213F77">
      <w:pPr>
        <w:pStyle w:val="Heading1"/>
      </w:pPr>
      <w:r>
        <w:t>Source</w:t>
      </w:r>
    </w:p>
    <w:p w14:paraId="4E0F9EB8" w14:textId="77777777" w:rsidR="00BD0139" w:rsidRDefault="00213F77">
      <w:pPr>
        <w:rPr>
          <w:rFonts w:hint="eastAsia"/>
        </w:rPr>
      </w:pPr>
      <w:r>
        <w:t>Prepared from the Credit Policy Intelligence solution review and feedback captured in “TCS Credit Policy Intelligence (CPI).docx”, meeting recording dated 22 September 2026. Priority 8 future enhancements have been intentionally excluded.</w:t>
      </w:r>
    </w:p>
    <w:sectPr w:rsidR="00BD0139" w:rsidSect="00034616">
      <w:headerReference w:type="default" r:id="rId7"/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462BE" w14:textId="77777777" w:rsidR="00C84CFF" w:rsidRDefault="00C84C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402635" w14:textId="77777777" w:rsidR="00C84CFF" w:rsidRDefault="00C84C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5C55" w14:textId="5D61A9D4" w:rsidR="00BD0139" w:rsidRDefault="00213F77">
    <w:pPr>
      <w:pStyle w:val="Footer"/>
      <w:jc w:val="center"/>
      <w:rPr>
        <w:rFonts w:hint="eastAsia"/>
      </w:rPr>
    </w:pPr>
    <w:r>
      <w:t xml:space="preserve">Internal Working Document  |  </w:t>
    </w:r>
    <w:r>
      <w:fldChar w:fldCharType="begin"/>
    </w:r>
    <w:r>
      <w:instrText>PAGE</w:instrText>
    </w:r>
    <w:r>
      <w:fldChar w:fldCharType="separate"/>
    </w:r>
    <w:r w:rsidR="00642FC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33341" w14:textId="77777777" w:rsidR="00C84CFF" w:rsidRDefault="00C84C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0637C3" w14:textId="77777777" w:rsidR="00C84CFF" w:rsidRDefault="00C84C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4C967" w14:textId="77777777" w:rsidR="00BD0139" w:rsidRDefault="00213F77">
    <w:pPr>
      <w:pStyle w:val="Caption"/>
      <w:jc w:val="right"/>
      <w:rPr>
        <w:rFonts w:hint="eastAsia"/>
      </w:rPr>
    </w:pPr>
    <w:r>
      <w:t>TCS Credit Policy Intelligence | Codex Enhancement Backlog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BBE4C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705987">
    <w:abstractNumId w:val="8"/>
  </w:num>
  <w:num w:numId="2" w16cid:durableId="1099715722">
    <w:abstractNumId w:val="1"/>
  </w:num>
  <w:num w:numId="3" w16cid:durableId="1499464040">
    <w:abstractNumId w:val="7"/>
  </w:num>
  <w:num w:numId="4" w16cid:durableId="1881890521">
    <w:abstractNumId w:val="4"/>
  </w:num>
  <w:num w:numId="5" w16cid:durableId="230427949">
    <w:abstractNumId w:val="0"/>
  </w:num>
  <w:num w:numId="6" w16cid:durableId="605582770">
    <w:abstractNumId w:val="2"/>
  </w:num>
  <w:num w:numId="7" w16cid:durableId="770516166">
    <w:abstractNumId w:val="6"/>
  </w:num>
  <w:num w:numId="8" w16cid:durableId="781847019">
    <w:abstractNumId w:val="3"/>
  </w:num>
  <w:num w:numId="9" w16cid:durableId="9940673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F77"/>
    <w:rsid w:val="00292805"/>
    <w:rsid w:val="0029639D"/>
    <w:rsid w:val="0032332B"/>
    <w:rsid w:val="00326F90"/>
    <w:rsid w:val="00586ED9"/>
    <w:rsid w:val="00642FC2"/>
    <w:rsid w:val="006D7D9D"/>
    <w:rsid w:val="00AA1D8D"/>
    <w:rsid w:val="00B4140C"/>
    <w:rsid w:val="00B47730"/>
    <w:rsid w:val="00BD0139"/>
    <w:rsid w:val="00C84CFF"/>
    <w:rsid w:val="00CB0664"/>
    <w:rsid w:val="00E0089F"/>
    <w:rsid w:val="00FC693F"/>
    <w:rsid w:val="62C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B5EA7C46-B666-4348-9894-1C2129B2C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bjective">
    <w:name w:val="Objective"/>
    <w:pPr>
      <w:spacing w:before="80" w:after="40"/>
    </w:pPr>
    <w:rPr>
      <w:rFonts w:ascii="Aptos" w:hAnsi="Aptos"/>
      <w:b/>
      <w:color w:val="1F4E79"/>
      <w:sz w:val="19"/>
    </w:rPr>
  </w:style>
  <w:style w:type="paragraph" w:customStyle="1" w:styleId="Action">
    <w:name w:val="Action"/>
    <w:pPr>
      <w:spacing w:before="80" w:after="40"/>
    </w:pPr>
    <w:rPr>
      <w:rFonts w:ascii="Aptos" w:hAnsi="Aptos"/>
      <w:b/>
      <w:color w:val="37562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CPI Codex Enhancement Backlog</dc:title>
  <dc:subject>Credit Policy Intelligence application modification objectives</dc:subject>
  <dc:creator>Ganesh Perumal</dc:creator>
  <cp:keywords>CPI, Codex, Credit Policy Intelligence, enhancement backlog</cp:keywords>
  <dc:description>generated by python-docx</dc:description>
  <cp:lastModifiedBy>Ganesh Perumal</cp:lastModifiedBy>
  <cp:revision>2</cp:revision>
  <dcterms:created xsi:type="dcterms:W3CDTF">2026-10-06T09:23:00Z</dcterms:created>
  <dcterms:modified xsi:type="dcterms:W3CDTF">2026-10-13T08:46:00Z</dcterms:modified>
  <cp:category/>
</cp:coreProperties>
</file>