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Descriptive Statistics of Regression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3"/>
        <w:gridCol w:w="2088"/>
        <w:gridCol w:w="461"/>
        <w:gridCol w:w="842"/>
        <w:gridCol w:w="842"/>
        <w:gridCol w:w="842"/>
        <w:gridCol w:w="842"/>
        <w:gridCol w:w="84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Role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360" w:hRule="auto"/>
        </w:trPr>
        <w:tc>
          <w:tcPr>
            <w:tcBorders>
              <w:bottom w:val="dashed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</w:t>
            </w:r>
          </w:p>
        </w:tc>
        <w:tc>
          <w:tcPr>
            <w:tcBorders>
              <w:bottom w:val="dashed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Sovereign spread dispersion</w:t>
            </w:r>
          </w:p>
        </w:tc>
        <w:tc>
          <w:tcPr>
            <w:tcBorders>
              <w:bottom w:val="dashed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dashed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1.464</w:t>
            </w:r>
          </w:p>
        </w:tc>
        <w:tc>
          <w:tcPr>
            <w:tcBorders>
              <w:bottom w:val="dashed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1.579</w:t>
            </w:r>
          </w:p>
        </w:tc>
        <w:tc>
          <w:tcPr>
            <w:tcBorders>
              <w:bottom w:val="dashed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dashed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0.796</w:t>
            </w:r>
          </w:p>
        </w:tc>
        <w:tc>
          <w:tcPr>
            <w:tcBorders>
              <w:bottom w:val="dashed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Regressor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GDP growth dispersion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dashed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Regressor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Inflation dispersion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Regressor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Debt/GDP dispersion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44.414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Regressor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account dispersion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Regressor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Policy uncertainty dispersion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453.619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Regressor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Bank-sovereign nexus dispersion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Regressor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Bid-ask spread dispersion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Regressor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VSTOXX (market sentiment)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22.122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20.084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63.272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Note: All dispersion variables are cross-sectional standard deviations across 11 euro area countries (AT, BE, DE, ES, FI, FR, GR, IE, IT, NL, PT), computed monthly over 2005-09&lt;e2&gt;&lt;80&gt;&lt;93&gt;2025-12. VSTOXX is the euro area implied volatility index.</w:t>
            </w:r>
          </w:p>
        </w:tc>
      </w:tr>
    </w:tbl>
    <w:sectPr>
      <w:pgMar w:header="567" w:bottom="851" w:top="1133" w:right="851" w:left="3401" w:footer="567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2026-07-31T13:46:42Z</dcterms:modified>
  <cp:category/>
</cp:coreProperties>
</file>