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A1: Rolling Window OLS &lt;e2&gt;&lt;80&gt;&lt;94&gt; 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2"/>
        <w:gridCol w:w="218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Stage 1 RMSE (fitted vs. actual)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Stage 2 RMSE (fundamentals-implied vs. actual)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0.9517</w:t>
            </w:r>
          </w:p>
        </w:tc>
      </w:tr>
      <w:tr>
        <w:trPr>
          <w:trHeight w:val="360" w:hRule="auto"/>
        </w:trPr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Stage 2 RMSE (fitted vs. fundamentals-implied)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rolling windows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estimated parameters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Note: Stage 1 is the full model (MS_fitted); Stage 2 is the prediction under normal market conditions (S_t = S&lt;cc&gt;&lt;85&gt;, i.e. sentiment at its full-sample mean). Window length: 60 months. Sample: 2005-09 to 2025-12.</w:t>
            </w:r>
          </w:p>
        </w:tc>
      </w:tr>
    </w:tbl>
    <w:sectPr>
      <w:pgMar w:header="567" w:bottom="851" w:top="1133" w:right="851" w:left="3401" w:footer="567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2026-07-31T13:46:37Z</dcterms:modified>
  <cp:category/>
</cp:coreProperties>
</file>