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A1.1: RMSE of rolling-window vs fixed-parameter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4"/>
        <w:gridCol w:w="1917"/>
        <w:gridCol w:w="2046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RMSE fitted vs actual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RMSE Stage 2 vs actual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Rolling window (60 months)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parameters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 2 = prediction under normal market conditions (S = S_bar). Rolling-window values are in-sample (each window includes the predicted month).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2026-07-31T13:46:20Z</dcterms:modified>
  <cp:category/>
</cp:coreProperties>
</file>