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A4.1: Residual diagnostics of the fixed-parameter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5"/>
        <w:gridCol w:w="962"/>
        <w:gridCol w:w="1091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Breusch-Godfrey (serial correlation, 12 lags)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0.0000***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Breusch-Pagan (heteroskedasticity)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0.0000***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Jarque-Bera (normality)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255.69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***, **, * denote rejection of H0 (no serial correlation / homoskedasticity / normality) at 1%, 5%, 10%.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2026-07-31T13:46:18Z</dcterms:modified>
  <cp:category/>
</cp:coreProperties>
</file>