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Opus Publica RC1 Engineering Directive</w:t>
      </w:r>
    </w:p>
    <w:p>
      <w:r>
        <w:t>Version 1.0</w:t>
        <w:br/>
        <w:t>Issued by: Chief Systems Architect</w:t>
        <w:br/>
        <w:br/>
        <w:t>Purpose: This directive instructs the engineering team in preparing the official Opus Publica RC1 Engineering Constitution and Engineering Playbook, and defines the mandatory engineering rules that all future implementation must follow.</w:t>
      </w:r>
    </w:p>
    <w:p>
      <w:pPr>
        <w:pStyle w:val="Heading1"/>
      </w:pPr>
      <w:r>
        <w:t>Mission</w:t>
      </w:r>
    </w:p>
    <w:p>
      <w:r>
        <w:t>Develop Opus Publica as a production-grade scholarly publishing operating system emphasizing determinism, auditability, immutability, reliability and maintainability.</w:t>
      </w:r>
    </w:p>
    <w:p>
      <w:pPr>
        <w:pStyle w:val="Heading1"/>
      </w:pPr>
      <w:r>
        <w:t>Engineering Principles</w:t>
      </w:r>
    </w:p>
    <w:p>
      <w:r>
        <w:t>Single source of truth; runtime evidence over assumptions; no duplicate logic; deterministic workflows; idempotent APIs; immutable canonical records; security by default; no mock production code; no hidden state; evidence-based certification.</w:t>
      </w:r>
    </w:p>
    <w:p>
      <w:pPr>
        <w:pStyle w:val="Heading1"/>
      </w:pPr>
      <w:r>
        <w:t>Canonical Workflow</w:t>
      </w:r>
    </w:p>
    <w:p>
      <w:r>
        <w:t>Upload → Compose → Preview → Accept Preview → Generate Publisher PDF → View PDF → Download HTML → Download PDF → Mint DOI → Publish → Notify Authors.</w:t>
      </w:r>
    </w:p>
    <w:p>
      <w:pPr>
        <w:pStyle w:val="Heading1"/>
      </w:pPr>
      <w:r>
        <w:t>Canonical Data</w:t>
      </w:r>
    </w:p>
    <w:p>
      <w:r>
        <w:t>Authoritative fields: canonical_package_url, canonical_session_id, canonical_checksum, approved_at, approved_by, published_pdf_url, doi.</w:t>
      </w:r>
    </w:p>
    <w:p>
      <w:pPr>
        <w:pStyle w:val="Heading1"/>
      </w:pPr>
      <w:r>
        <w:t>Publication Package</w:t>
      </w:r>
    </w:p>
    <w:p>
      <w:r>
        <w:t>Artifacts: article.html, publisher.pdf, manifest.json, article.ast.json, publication-context.json, composition-config.json, quality-report.json, renderer.json, template.json, style.json, checksum.sha256. Canonical path: packages/&lt;articleId&gt;/&lt;sessionId&gt;/&lt;filename&gt;.</w:t>
      </w:r>
    </w:p>
    <w:p>
      <w:pPr>
        <w:pStyle w:val="Heading1"/>
      </w:pPr>
      <w:r>
        <w:t>UI Contract</w:t>
      </w:r>
    </w:p>
    <w:p>
      <w:r>
        <w:t>Every user action must specify preconditions, API, success criteria, failure handling, state transitions and runtime verification.</w:t>
      </w:r>
    </w:p>
    <w:p>
      <w:pPr>
        <w:pStyle w:val="Heading1"/>
      </w:pPr>
      <w:r>
        <w:t>Security</w:t>
      </w:r>
    </w:p>
    <w:p>
      <w:r>
        <w:t>Supabase JWT authentication, centralized authorization, immutable audit logs, least privilege.</w:t>
      </w:r>
    </w:p>
    <w:p>
      <w:pPr>
        <w:pStyle w:val="Heading1"/>
      </w:pPr>
      <w:r>
        <w:t>Quality Gates</w:t>
      </w:r>
    </w:p>
    <w:p>
      <w:r>
        <w:t>No publication without complete metadata, downloadable HTML/PDF, DOI, runtime verification and removal of placeholders such as 'Anonymous' and 'Untitled Article'.</w:t>
      </w:r>
    </w:p>
    <w:p>
      <w:pPr>
        <w:pStyle w:val="Heading1"/>
      </w:pPr>
      <w:r>
        <w:t>Documentation</w:t>
      </w:r>
    </w:p>
    <w:p>
      <w:r>
        <w:t>The Engineering Constitution shall define architecture, workflow, storage, rendering, APIs, database, QA, deployment and governance. The Playbook shall define implementation, testing, review, release and incident procedures.</w:t>
      </w:r>
    </w:p>
    <w:p>
      <w:pPr>
        <w:pStyle w:val="Heading1"/>
      </w:pPr>
      <w:r>
        <w:t>Certification</w:t>
      </w:r>
    </w:p>
    <w:p>
      <w:r>
        <w:t>No release based solely on successful build. Mandatory runtime, storage, database, API, UI and end-to-end workflow certification.</w:t>
      </w:r>
    </w:p>
    <w:p>
      <w:pPr>
        <w:pStyle w:val="Heading1"/>
      </w:pPr>
      <w:r>
        <w:t>Directive</w:t>
      </w:r>
    </w:p>
    <w:p>
      <w:r>
        <w:t>Every implementation engineer, AI coding agent and reviewer shall comply with this directive. No architectural deviation may be introduced without formal approval. This directive serves as the governing blueprint for the future 150-page Engineering Constitution and Engineering Playbook.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