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03C" w:rsidRPr="00BC3E31" w:rsidRDefault="00BC3E31">
      <w:pPr>
        <w:rPr>
          <w:b/>
          <w:sz w:val="24"/>
          <w:szCs w:val="24"/>
        </w:rPr>
      </w:pPr>
      <w:bookmarkStart w:id="0" w:name="_GoBack"/>
      <w:bookmarkEnd w:id="0"/>
      <w:r w:rsidRPr="00BC3E31">
        <w:rPr>
          <w:b/>
          <w:sz w:val="24"/>
          <w:szCs w:val="24"/>
        </w:rPr>
        <w:t>Summary Water Temperature Model (RBM10) Results for Low Flow Historical Years</w:t>
      </w:r>
    </w:p>
    <w:p w:rsidR="00BC3E31" w:rsidRDefault="00BC3E31">
      <w:r>
        <w:t>CRITFC, May 2018. Draft Results (Not for Distribution)</w:t>
      </w:r>
    </w:p>
    <w:p w:rsidR="00BC3E31" w:rsidRDefault="00BC3E31"/>
    <w:tbl>
      <w:tblPr>
        <w:tblW w:w="5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1200"/>
        <w:gridCol w:w="1240"/>
        <w:gridCol w:w="1200"/>
        <w:gridCol w:w="1295"/>
      </w:tblGrid>
      <w:tr w:rsidR="00BC3E31" w:rsidRPr="00BC3E31" w:rsidTr="00BC3E3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1" w:name="RANGE!A1:E14"/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Scenario</w:t>
            </w:r>
            <w:bookmarkEnd w:id="1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RCC80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4E80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RCC80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4E80</w:t>
            </w:r>
          </w:p>
        </w:tc>
      </w:tr>
      <w:tr w:rsidR="00BC3E31" w:rsidRPr="00BC3E31" w:rsidTr="00BC3E3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Location</w:t>
            </w:r>
          </w:p>
        </w:tc>
        <w:tc>
          <w:tcPr>
            <w:tcW w:w="2440" w:type="dxa"/>
            <w:gridSpan w:val="2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RM146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Columbia R at </w:t>
            </w: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Bonneville Dam)</w:t>
            </w:r>
          </w:p>
        </w:tc>
        <w:tc>
          <w:tcPr>
            <w:tcW w:w="2495" w:type="dxa"/>
            <w:gridSpan w:val="2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RM 318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Columbia 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blw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Snake R Confluence</w:t>
            </w: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BC3E31" w:rsidRPr="00BC3E31" w:rsidTr="00BC3E3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Jan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1.77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2.04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</w:tr>
      <w:tr w:rsidR="00BC3E31" w:rsidRPr="00BC3E31" w:rsidTr="00BC3E3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Feb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2.39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2.73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1.77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2.14</w:t>
            </w:r>
          </w:p>
        </w:tc>
      </w:tr>
      <w:tr w:rsidR="00BC3E31" w:rsidRPr="00BC3E31" w:rsidTr="00BC3E3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Mar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5.65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5.79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4.89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4.97</w:t>
            </w:r>
          </w:p>
        </w:tc>
      </w:tr>
      <w:tr w:rsidR="00BC3E31" w:rsidRPr="00BC3E31" w:rsidTr="00BC3E3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Apr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9.85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9.73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8.74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8.53</w:t>
            </w:r>
          </w:p>
        </w:tc>
      </w:tr>
      <w:tr w:rsidR="00BC3E31" w:rsidRPr="00BC3E31" w:rsidTr="00BC3E3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May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13.77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13.33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12.67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12.36</w:t>
            </w:r>
          </w:p>
        </w:tc>
      </w:tr>
      <w:tr w:rsidR="00BC3E31" w:rsidRPr="00BC3E31" w:rsidTr="00BC3E3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Jun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17.65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17.56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16.82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16.75</w:t>
            </w:r>
          </w:p>
        </w:tc>
      </w:tr>
      <w:tr w:rsidR="00BC3E31" w:rsidRPr="00BC3E31" w:rsidTr="00BC3E3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Jul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21.01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20.91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19.86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19.76</w:t>
            </w:r>
          </w:p>
        </w:tc>
      </w:tr>
      <w:tr w:rsidR="00BC3E31" w:rsidRPr="00BC3E31" w:rsidTr="00BC3E3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Aug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22.07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20.54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20.53</w:t>
            </w:r>
          </w:p>
        </w:tc>
      </w:tr>
      <w:tr w:rsidR="00BC3E31" w:rsidRPr="00BC3E31" w:rsidTr="00BC3E3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Sep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19.83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19.76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18.41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18.41</w:t>
            </w:r>
          </w:p>
        </w:tc>
      </w:tr>
      <w:tr w:rsidR="00BC3E31" w:rsidRPr="00BC3E31" w:rsidTr="00BC3E3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Oct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15.67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15.99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14.33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14.02</w:t>
            </w:r>
          </w:p>
        </w:tc>
      </w:tr>
      <w:tr w:rsidR="00BC3E31" w:rsidRPr="00BC3E31" w:rsidTr="00BC3E3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Nov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9.79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10.06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8.98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8.11</w:t>
            </w:r>
          </w:p>
        </w:tc>
      </w:tr>
      <w:tr w:rsidR="00BC3E31" w:rsidRPr="00BC3E31" w:rsidTr="00BC3E31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3E31">
              <w:rPr>
                <w:rFonts w:ascii="Calibri" w:eastAsia="Times New Roman" w:hAnsi="Calibri" w:cs="Calibri"/>
                <w:b/>
                <w:bCs/>
                <w:color w:val="000000"/>
              </w:rPr>
              <w:t>Dec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4.94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4.87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4.29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BC3E31" w:rsidRPr="00BC3E31" w:rsidRDefault="00BC3E31" w:rsidP="00BC3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3E31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</w:tr>
    </w:tbl>
    <w:p w:rsidR="00BC3E31" w:rsidRDefault="00BC3E31"/>
    <w:p w:rsidR="00BC3E31" w:rsidRDefault="004F0295">
      <w:r>
        <w:t>Daily water t</w:t>
      </w:r>
      <w:r w:rsidR="00BC3E31">
        <w:t xml:space="preserve">emperature </w:t>
      </w:r>
      <w:r>
        <w:t>m</w:t>
      </w:r>
      <w:r w:rsidR="00BC3E31">
        <w:t xml:space="preserve">odel </w:t>
      </w:r>
      <w:r>
        <w:t xml:space="preserve">(RBM10) </w:t>
      </w:r>
      <w:r w:rsidR="00BC3E31">
        <w:t>was run for historical years (1928-1998) usi</w:t>
      </w:r>
      <w:r w:rsidR="00C17C6F">
        <w:t xml:space="preserve">ng antecedent tributary inflow </w:t>
      </w:r>
      <w:r w:rsidR="00BC3E31">
        <w:t xml:space="preserve">and meteorological data, with scenario information derived from CIS for </w:t>
      </w:r>
      <w:proofErr w:type="spellStart"/>
      <w:r w:rsidR="00BC3E31">
        <w:t>hydrosystem</w:t>
      </w:r>
      <w:proofErr w:type="spellEnd"/>
      <w:r w:rsidR="00BC3E31">
        <w:t xml:space="preserve"> operations. Results above are summarized for the “Q1” lowest flow years, which were the set of years composing the lowest (20% percentile) April-August volume forecast in this range. All temperature values are in degrees Celsius. RCC80 = Current </w:t>
      </w:r>
      <w:proofErr w:type="spellStart"/>
      <w:r w:rsidR="00BC3E31">
        <w:t>hydro</w:t>
      </w:r>
      <w:r w:rsidR="00F17637">
        <w:t>system</w:t>
      </w:r>
      <w:proofErr w:type="spellEnd"/>
      <w:r w:rsidR="00BC3E31">
        <w:t xml:space="preserve"> operations, 4E80 = Preferred ecological </w:t>
      </w:r>
      <w:proofErr w:type="spellStart"/>
      <w:r w:rsidR="00F17637">
        <w:t>hydrosystem</w:t>
      </w:r>
      <w:proofErr w:type="spellEnd"/>
      <w:r w:rsidR="00F17637">
        <w:t xml:space="preserve"> </w:t>
      </w:r>
      <w:r w:rsidR="00BC3E31">
        <w:t>operations. Results are</w:t>
      </w:r>
      <w:r w:rsidR="00F17637">
        <w:t xml:space="preserve"> averaged monthly </w:t>
      </w:r>
      <w:r w:rsidR="00BC3E31">
        <w:t>at two locations on the Columbia River.</w:t>
      </w:r>
    </w:p>
    <w:p w:rsidR="00BC3E31" w:rsidRDefault="00BC3E31"/>
    <w:p w:rsidR="00BC3E31" w:rsidRDefault="00BC3E31">
      <w:r>
        <w:rPr>
          <w:noProof/>
        </w:rPr>
        <w:drawing>
          <wp:inline distT="0" distB="0" distL="0" distR="0" wp14:anchorId="666BFB3F" wp14:editId="57927F58">
            <wp:extent cx="4314825" cy="26289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7B731B-40C3-48A3-A96C-DE55F2642A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t xml:space="preserve"> </w:t>
      </w:r>
    </w:p>
    <w:sectPr w:rsidR="00BC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31"/>
    <w:rsid w:val="00275F97"/>
    <w:rsid w:val="004F0295"/>
    <w:rsid w:val="00BC047F"/>
    <w:rsid w:val="00BC3E31"/>
    <w:rsid w:val="00C17C6F"/>
    <w:rsid w:val="00F17637"/>
    <w:rsid w:val="00F661F8"/>
    <w:rsid w:val="00FF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64F6"/>
  <w15:chartTrackingRefBased/>
  <w15:docId w15:val="{F4F3CB41-227F-4BB3-844F-270ACCBC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FISHSPAWN\VOL1\Depts\gis\project\climate_change\David_work\Accords_Work\CCProj_Year9and10\HydroModeling\ColWaterTempModeling\ScenarioOutputs\CompareAvgTempsbyMonth_Q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Modeled</a:t>
            </a:r>
            <a:r>
              <a:rPr lang="en-US" baseline="0"/>
              <a:t> Spring Water Temperature in Q1 Years - @ Bonneville Dam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"RCC80"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CompareAvgTempsbyMonth_Q1!$A$6:$A$8</c:f>
              <c:strCache>
                <c:ptCount val="3"/>
                <c:pt idx="0">
                  <c:v>Apr</c:v>
                </c:pt>
                <c:pt idx="1">
                  <c:v>May</c:v>
                </c:pt>
                <c:pt idx="2">
                  <c:v>Jun</c:v>
                </c:pt>
              </c:strCache>
            </c:strRef>
          </c:cat>
          <c:val>
            <c:numRef>
              <c:f>CompareAvgTempsbyMonth_Q1!$B$6:$B$8</c:f>
              <c:numCache>
                <c:formatCode>General</c:formatCode>
                <c:ptCount val="3"/>
                <c:pt idx="0">
                  <c:v>9.85</c:v>
                </c:pt>
                <c:pt idx="1">
                  <c:v>13.77</c:v>
                </c:pt>
                <c:pt idx="2">
                  <c:v>17.649999999999999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E8-42F6-BB3D-D3FDE736884E}"/>
            </c:ext>
          </c:extLst>
        </c:ser>
        <c:ser>
          <c:idx val="1"/>
          <c:order val="1"/>
          <c:tx>
            <c:v>"4E80"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CompareAvgTempsbyMonth_Q1!$A$6:$A$8</c:f>
              <c:strCache>
                <c:ptCount val="3"/>
                <c:pt idx="0">
                  <c:v>Apr</c:v>
                </c:pt>
                <c:pt idx="1">
                  <c:v>May</c:v>
                </c:pt>
                <c:pt idx="2">
                  <c:v>Jun</c:v>
                </c:pt>
              </c:strCache>
            </c:strRef>
          </c:cat>
          <c:val>
            <c:numRef>
              <c:f>CompareAvgTempsbyMonth_Q1!$C$6:$C$8</c:f>
              <c:numCache>
                <c:formatCode>General</c:formatCode>
                <c:ptCount val="3"/>
                <c:pt idx="0">
                  <c:v>9.73</c:v>
                </c:pt>
                <c:pt idx="1">
                  <c:v>13.33</c:v>
                </c:pt>
                <c:pt idx="2">
                  <c:v>17.559999999999999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E8-42F6-BB3D-D3FDE73688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6824392"/>
        <c:axId val="496823408"/>
      </c:lineChart>
      <c:catAx>
        <c:axId val="496824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823408"/>
        <c:crosses val="autoZero"/>
        <c:auto val="1"/>
        <c:lblAlgn val="ctr"/>
        <c:lblOffset val="100"/>
        <c:noMultiLvlLbl val="0"/>
      </c:catAx>
      <c:valAx>
        <c:axId val="496823408"/>
        <c:scaling>
          <c:orientation val="minMax"/>
          <c:max val="18"/>
          <c:min val="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824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Graves</dc:creator>
  <cp:keywords/>
  <dc:description/>
  <cp:lastModifiedBy>David Graves</cp:lastModifiedBy>
  <cp:revision>6</cp:revision>
  <dcterms:created xsi:type="dcterms:W3CDTF">2018-05-02T23:46:00Z</dcterms:created>
  <dcterms:modified xsi:type="dcterms:W3CDTF">2018-05-03T00:03:00Z</dcterms:modified>
</cp:coreProperties>
</file>