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 Example</w:t>
      </w:r>
    </w:p>
    <w:p>
      <w:r>
        <w:t>Normal paragraph text following a Heading 1.</w:t>
      </w:r>
    </w:p>
    <w:p>
      <w:pPr>
        <w:pStyle w:val="Heading2"/>
      </w:pPr>
      <w:r>
        <w:t>Heading 2 Example</w:t>
      </w:r>
    </w:p>
    <w:p>
      <w:r>
        <w:t>Normal paragraph text following a Heading 2.</w:t>
      </w:r>
    </w:p>
    <w:p>
      <w:pPr>
        <w:pStyle w:val="Heading3"/>
      </w:pPr>
      <w:r>
        <w:t>Heading 3 Example</w:t>
      </w:r>
    </w:p>
    <w:p>
      <w:r>
        <w:t>Normal paragraph text following a Heading 3.</w:t>
      </w:r>
    </w:p>
    <w:p>
      <w:pPr>
        <w:pStyle w:val="Heading4"/>
      </w:pPr>
      <w:r>
        <w:t>Heading 4 Example</w:t>
      </w:r>
    </w:p>
    <w:p>
      <w:r>
        <w:t>Normal paragraph text following a Heading 4.</w:t>
      </w:r>
    </w:p>
    <w:p>
      <w:pPr>
        <w:pStyle w:val="Heading2"/>
      </w:pPr>
      <w:r>
        <w:t>Bullet List</w:t>
      </w:r>
    </w:p>
    <w:p>
      <w:pPr>
        <w:pStyle w:val="ListBullet"/>
      </w:pPr>
      <w:r>
        <w:t>First bullet item</w:t>
      </w:r>
    </w:p>
    <w:p>
      <w:pPr>
        <w:pStyle w:val="ListBullet"/>
      </w:pPr>
      <w:r>
        <w:t>Second bullet item</w:t>
      </w:r>
    </w:p>
    <w:p>
      <w:pPr>
        <w:pStyle w:val="ListBullet"/>
      </w:pPr>
      <w:r>
        <w:t>Third bullet item</w:t>
      </w:r>
    </w:p>
    <w:p>
      <w:pPr>
        <w:pStyle w:val="Heading2"/>
      </w:pPr>
      <w:r>
        <w:t>Nested Bullet List</w:t>
      </w:r>
    </w:p>
    <w:p>
      <w:pPr>
        <w:pStyle w:val="ListParagraph"/>
      </w:pPr>
      <w:r>
        <w:t>Parent bullet item</w:t>
      </w:r>
    </w:p>
    <w:p>
      <w:pPr>
        <w:pStyle w:val="ListBullet2"/>
      </w:pPr>
      <w:r>
        <w:t>Child bullet item</w:t>
      </w:r>
    </w:p>
    <w:p>
      <w:pPr>
        <w:pStyle w:val="ListBullet2"/>
      </w:pPr>
      <w:r>
        <w:t>Another child bullet item</w:t>
      </w:r>
    </w:p>
    <w:p>
      <w:pPr>
        <w:pStyle w:val="ListBullet"/>
      </w:pPr>
      <w:r>
        <w:t>Another parent bullet item</w:t>
      </w:r>
    </w:p>
    <w:p>
      <w:pPr>
        <w:pStyle w:val="Heading2"/>
      </w:pPr>
      <w:r>
        <w:t>Numbered List A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pPr>
        <w:pStyle w:val="ListNumber"/>
      </w:pPr>
      <w:r>
        <w:t>Third numbered item</w:t>
      </w:r>
    </w:p>
    <w:p>
      <w:pPr>
        <w:pStyle w:val="Heading2"/>
      </w:pPr>
      <w:r>
        <w:t>Numbered List B (should restart)</w:t>
      </w:r>
    </w:p>
    <w:p>
      <w:pPr>
        <w:pStyle w:val="ListNumber"/>
      </w:pPr>
      <w:r>
        <w:t>First item in second list</w:t>
      </w:r>
    </w:p>
    <w:p>
      <w:pPr>
        <w:pStyle w:val="ListNumber"/>
      </w:pPr>
      <w:r>
        <w:t>Second item in second list</w:t>
      </w:r>
    </w:p>
    <w:p>
      <w:pPr>
        <w:pStyle w:val="ListNumber"/>
      </w:pPr>
      <w:r>
        <w:t>Third item in second list</w:t>
      </w:r>
    </w:p>
    <w:p>
      <w:pPr>
        <w:pStyle w:val="Heading2"/>
      </w:pPr>
      <w:r>
        <w:t>Numbered with Sub-Bullets</w:t>
      </w:r>
    </w:p>
    <w:p>
      <w:pPr>
        <w:pStyle w:val="ListNumber"/>
      </w:pPr>
      <w:r>
        <w:t>Step one of the process</w:t>
      </w:r>
    </w:p>
    <w:p>
      <w:pPr>
        <w:pStyle w:val="ListBullet2"/>
      </w:pPr>
      <w:r>
        <w:t>Sub-detail under step one</w:t>
      </w:r>
    </w:p>
    <w:p>
      <w:pPr>
        <w:pStyle w:val="ListBullet2"/>
      </w:pPr>
      <w:r>
        <w:t>Another sub-detail</w:t>
      </w:r>
    </w:p>
    <w:p>
      <w:pPr>
        <w:pStyle w:val="ListNumber"/>
      </w:pPr>
      <w:r>
        <w:t>Step two of the process</w:t>
      </w:r>
    </w:p>
    <w:p>
      <w:pPr>
        <w:pStyle w:val="ListNumber"/>
      </w:pPr>
      <w:r>
        <w:t>Step three of the process</w:t>
      </w:r>
    </w:p>
    <w:p>
      <w:pPr>
        <w:pStyle w:val="Heading2"/>
      </w:pPr>
      <w:r>
        <w:t>Table Example</w:t>
      </w:r>
    </w:p>
    <w:tbl>
      <w:tblPr>
        <w:tblStyle w:val="PlainTable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1</w:t>
            </w:r>
          </w:p>
        </w:tc>
        <w:tc>
          <w:tcPr>
            <w:tcW w:type="dxa" w:w="2880"/>
          </w:tcPr>
          <w:p>
            <w:r>
              <w:t>Header 2</w:t>
            </w:r>
          </w:p>
        </w:tc>
        <w:tc>
          <w:tcPr>
            <w:tcW w:type="dxa" w:w="2880"/>
          </w:tcPr>
          <w:p>
            <w:r>
              <w:t>Header 3</w:t>
            </w:r>
          </w:p>
        </w:tc>
      </w:tr>
      <w:t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  <w:tc>
          <w:tcPr>
            <w:tcW w:type="dxa" w:w="2880"/>
          </w:tcPr>
          <w:p>
            <w:r>
              <w:t>Row 1 Col 3</w:t>
            </w:r>
          </w:p>
        </w:tc>
      </w:tr>
      <w:tr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  <w:tc>
          <w:tcPr>
            <w:tcW w:type="dxa" w:w="2880"/>
          </w:tcPr>
          <w:p>
            <w:r>
              <w:t>Row 2 Col 3</w:t>
            </w:r>
          </w:p>
        </w:tc>
      </w:tr>
    </w:tbl>
    <w:p>
      <w:pPr>
        <w:pStyle w:val="Heading2"/>
      </w:pPr>
      <w:r>
        <w:t>Inline Formatting</w:t>
      </w:r>
    </w:p>
    <w:p>
      <w:r>
        <w:t xml:space="preserve">This has </w:t>
      </w:r>
      <w:r>
        <w:rPr>
          <w:b/>
        </w:rPr>
        <w:t>bold text</w:t>
      </w:r>
      <w:r>
        <w:t xml:space="preserve">, </w:t>
      </w:r>
      <w:r>
        <w:rPr>
          <w:i/>
        </w:rPr>
        <w:t>italic text</w:t>
      </w:r>
      <w:r>
        <w:t xml:space="preserve">, and </w:t>
      </w:r>
      <w:r>
        <w:rPr>
          <w:rFonts w:ascii="Consolas" w:hAnsi="Consolas"/>
          <w:sz w:val="20"/>
        </w:rPr>
        <w:t>inline code</w:t>
      </w:r>
      <w:r>
        <w:t>.</w:t>
      </w:r>
    </w:p>
    <w:p>
      <w:pPr>
        <w:pStyle w:val="Heading2"/>
      </w:pPr>
      <w:r>
        <w:t>Blockquote Example</w:t>
      </w:r>
    </w:p>
    <w:p>
      <w:pPr>
        <w:pStyle w:val="Quote"/>
      </w:pPr>
      <w:r>
        <w:t>This is a blockquote paragraph, rendered with a vertical bar on the left. Used for email bodies or callouts.</w:t>
      </w:r>
    </w:p>
    <w:p>
      <w:pPr>
        <w:pStyle w:val="Quote"/>
      </w:pPr>
      <w:r>
        <w:t>A second blockquote paragraph. Consecutive quoted lines keep the bar so multi-paragraph quotes read as one block.</w:t>
      </w:r>
    </w:p>
    <w:p>
      <w:pPr>
        <w:pStyle w:val="Heading2"/>
      </w:pPr>
      <w:r>
        <w:t>Horizontal Rule</w:t>
      </w:r>
    </w:p>
    <w:p>
      <w:r>
        <w:t>Content above the rule.</w:t>
      </w:r>
    </w:p>
    <w:p>
      <w:r>
        <w:t>___</w:t>
      </w:r>
    </w:p>
    <w:p>
      <w:r>
        <w:t>Content below the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 Display" w:hAnsi="Aptos Display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360"/>
      <w:pBdr>
        <w:left w:val="single" w:sz="18" w:space="12" w:color="999999"/>
      </w:pBdr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2">
    <w:name w:val="Plain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