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jc w:val="center"/>
      </w:pPr>
      <w:r>
        <w:rPr>
          <w:rFonts w:ascii="Arial" w:cs="Arial" w:eastAsia="Arial" w:hAnsi="Arial"/>
          <w:b/>
          <w:bCs/>
          <w:color w:val="1F4E79"/>
          <w:sz w:val="48"/>
          <w:szCs w:val="48"/>
        </w:rPr>
        <w:t xml:space="preserve">SOFTWARE DESIGN DOCUMENT</w:t>
      </w:r>
    </w:p>
    <w:p>
      <w:pPr>
        <w:spacing w:after="80"/>
      </w:pPr>
    </w:p>
    <w:p>
      <w:pPr>
        <w:jc w:val="center"/>
      </w:pPr>
      <w:r>
        <w:rPr>
          <w:rFonts w:ascii="Arial" w:cs="Arial" w:eastAsia="Arial" w:hAnsi="Arial"/>
          <w:color w:val="595959"/>
          <w:sz w:val="36"/>
          <w:szCs w:val="36"/>
        </w:rPr>
        <w:t xml:space="preserve">Open Access Telehealth Platform</w:t>
      </w:r>
    </w:p>
    <w:p>
      <w:pPr>
        <w:spacing w:after="80"/>
      </w:pPr>
    </w:p>
    <w:p>
      <w:pPr>
        <w:pBdr>
          <w:bottom w:val="single" w:color="1F4E79" w:sz="8"/>
        </w:pBdr>
        <w:jc w:val="center"/>
      </w:pPr>
    </w:p>
    <w:p>
      <w:pPr>
        <w:spacing w:after="160"/>
      </w:pPr>
    </w:p>
    <w:p>
      <w:pPr>
        <w:jc w:val="center"/>
      </w:pPr>
      <w:r>
        <w:rPr>
          <w:rFonts w:ascii="Arial" w:cs="Arial" w:eastAsia="Arial" w:hAnsi="Arial"/>
          <w:color w:val="595959"/>
          <w:sz w:val="28"/>
          <w:szCs w:val="28"/>
        </w:rPr>
        <w:t xml:space="preserve">Democratizing Access to Healthcare</w:t>
      </w:r>
    </w:p>
    <w:p>
      <w:pPr>
        <w:spacing w:after="32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0.1 — Initial Draft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 Progress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March 28, 2026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Owner</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Reviewers</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r>
    </w:tbl>
    <w:p>
      <w:r>
        <w:br w:type="page"/>
      </w:r>
    </w:p>
    <w:p>
      <w:pPr>
        <w:pStyle w:val="Heading1"/>
      </w:pPr>
      <w:r>
        <w:rPr>
          <w:rFonts w:ascii="Arial" w:cs="Arial" w:eastAsia="Arial" w:hAnsi="Arial"/>
          <w:b/>
          <w:bCs/>
          <w:color w:val="1F4E79"/>
          <w:sz w:val="32"/>
          <w:szCs w:val="32"/>
        </w:rPr>
        <w:t xml:space="preserve">1. Introduction</w:t>
      </w:r>
    </w:p>
    <w:p>
      <w:pPr>
        <w:pBdr>
          <w:bottom w:val="single" w:color="D0D0D0" w:sz="4"/>
        </w:pBdr>
        <w:spacing w:after="200"/>
      </w:pPr>
    </w:p>
    <w:p>
      <w:pPr>
        <w:pStyle w:val="Heading2"/>
      </w:pPr>
      <w:r>
        <w:rPr>
          <w:rFonts w:ascii="Arial" w:cs="Arial" w:eastAsia="Arial" w:hAnsi="Arial"/>
          <w:b/>
          <w:bCs/>
          <w:color w:val="1F4E79"/>
          <w:sz w:val="26"/>
          <w:szCs w:val="26"/>
        </w:rPr>
        <w:t xml:space="preserve">1.1 Purpose</w:t>
      </w:r>
    </w:p>
    <w:p>
      <w:pPr>
        <w:spacing w:after="120"/>
      </w:pPr>
      <w:r>
        <w:rPr>
          <w:rFonts w:ascii="Arial" w:cs="Arial" w:eastAsia="Arial" w:hAnsi="Arial"/>
          <w:b w:val="false"/>
          <w:bCs w:val="false"/>
          <w:color w:val="000000"/>
          <w:sz w:val="22"/>
          <w:szCs w:val="22"/>
        </w:rPr>
        <w:t xml:space="preserve">This Software Design Document (SDD) describes the architecture, modules, data flows, and technical constraints of the Open Access Telehealth Platform. It serves as the primary reference for engineering, product, clinical, and legal teams throughout the design and development lifecycle. It is a living document and will be updated as decisions are finalized.</w:t>
      </w:r>
    </w:p>
    <w:p>
      <w:pPr>
        <w:spacing w:after="80"/>
      </w:pPr>
    </w:p>
    <w:p>
      <w:pPr>
        <w:pStyle w:val="Heading2"/>
      </w:pPr>
      <w:r>
        <w:rPr>
          <w:rFonts w:ascii="Arial" w:cs="Arial" w:eastAsia="Arial" w:hAnsi="Arial"/>
          <w:b/>
          <w:bCs/>
          <w:color w:val="1F4E79"/>
          <w:sz w:val="26"/>
          <w:szCs w:val="26"/>
        </w:rPr>
        <w:t xml:space="preserve">1.2 Scope</w:t>
      </w:r>
    </w:p>
    <w:p>
      <w:pPr>
        <w:spacing w:after="120"/>
      </w:pPr>
      <w:r>
        <w:rPr>
          <w:rFonts w:ascii="Arial" w:cs="Arial" w:eastAsia="Arial" w:hAnsi="Arial"/>
          <w:b w:val="false"/>
          <w:bCs w:val="false"/>
          <w:color w:val="000000"/>
          <w:sz w:val="22"/>
          <w:szCs w:val="22"/>
        </w:rPr>
        <w:t xml:space="preserve">The platform enables patients to receive clinical guidance from licensed physicians via three modalities: live video, audio-only call, and asynchronous video submission. It includes an AI-assisted triage and routing engine, a real-time translation layer, a physician queue and annotation interface, and a patient-facing portal. The platform is designed to operate across multiple jurisdictions with geographic data residency compliance.</w:t>
      </w:r>
    </w:p>
    <w:p>
      <w:pPr>
        <w:spacing w:after="80"/>
      </w:pPr>
    </w:p>
    <w:p>
      <w:pPr>
        <w:pStyle w:val="Heading2"/>
      </w:pPr>
      <w:r>
        <w:rPr>
          <w:rFonts w:ascii="Arial" w:cs="Arial" w:eastAsia="Arial" w:hAnsi="Arial"/>
          <w:b/>
          <w:bCs/>
          <w:color w:val="1F4E79"/>
          <w:sz w:val="26"/>
          <w:szCs w:val="26"/>
        </w:rPr>
        <w:t xml:space="preserve">1.3 Intended Audience</w:t>
      </w:r>
    </w:p>
    <w:p>
      <w:pPr>
        <w:pStyle w:val="ListParagraph"/>
        <w:numPr>
          <w:ilvl w:val="0"/>
          <w:numId w:val="2"/>
        </w:numPr>
        <w:spacing w:after="80"/>
      </w:pPr>
      <w:r>
        <w:rPr>
          <w:rFonts w:ascii="Arial" w:cs="Arial" w:eastAsia="Arial" w:hAnsi="Arial"/>
          <w:sz w:val="22"/>
          <w:szCs w:val="22"/>
        </w:rPr>
        <w:t xml:space="preserve">Engineering and architecture teams</w:t>
      </w:r>
    </w:p>
    <w:p>
      <w:pPr>
        <w:pStyle w:val="ListParagraph"/>
        <w:numPr>
          <w:ilvl w:val="0"/>
          <w:numId w:val="2"/>
        </w:numPr>
        <w:spacing w:after="80"/>
      </w:pPr>
      <w:r>
        <w:rPr>
          <w:rFonts w:ascii="Arial" w:cs="Arial" w:eastAsia="Arial" w:hAnsi="Arial"/>
          <w:sz w:val="22"/>
          <w:szCs w:val="22"/>
        </w:rPr>
        <w:t xml:space="preserve">Product and clinical advisory board</w:t>
      </w:r>
    </w:p>
    <w:p>
      <w:pPr>
        <w:pStyle w:val="ListParagraph"/>
        <w:numPr>
          <w:ilvl w:val="0"/>
          <w:numId w:val="2"/>
        </w:numPr>
        <w:spacing w:after="80"/>
      </w:pPr>
      <w:r>
        <w:rPr>
          <w:rFonts w:ascii="Arial" w:cs="Arial" w:eastAsia="Arial" w:hAnsi="Arial"/>
          <w:sz w:val="22"/>
          <w:szCs w:val="22"/>
        </w:rPr>
        <w:t xml:space="preserve">Legal and compliance reviewers</w:t>
      </w:r>
    </w:p>
    <w:p>
      <w:pPr>
        <w:pStyle w:val="ListParagraph"/>
        <w:numPr>
          <w:ilvl w:val="0"/>
          <w:numId w:val="2"/>
        </w:numPr>
        <w:spacing w:after="80"/>
      </w:pPr>
      <w:r>
        <w:rPr>
          <w:rFonts w:ascii="Arial" w:cs="Arial" w:eastAsia="Arial" w:hAnsi="Arial"/>
          <w:sz w:val="22"/>
          <w:szCs w:val="22"/>
        </w:rPr>
        <w:t xml:space="preserve">Regulatory affairs consultants</w:t>
      </w:r>
    </w:p>
    <w:p>
      <w:pPr>
        <w:pStyle w:val="ListParagraph"/>
        <w:numPr>
          <w:ilvl w:val="0"/>
          <w:numId w:val="2"/>
        </w:numPr>
        <w:spacing w:after="80"/>
      </w:pPr>
      <w:r>
        <w:rPr>
          <w:rFonts w:ascii="Arial" w:cs="Arial" w:eastAsia="Arial" w:hAnsi="Arial"/>
          <w:sz w:val="22"/>
          <w:szCs w:val="22"/>
        </w:rPr>
        <w:t xml:space="preserve">External auditors and potential funding partners</w:t>
      </w:r>
    </w:p>
    <w:p>
      <w:pPr>
        <w:spacing w:after="80"/>
      </w:pPr>
    </w:p>
    <w:p>
      <w:pPr>
        <w:pStyle w:val="Heading2"/>
      </w:pPr>
      <w:r>
        <w:rPr>
          <w:rFonts w:ascii="Arial" w:cs="Arial" w:eastAsia="Arial" w:hAnsi="Arial"/>
          <w:b/>
          <w:bCs/>
          <w:color w:val="1F4E79"/>
          <w:sz w:val="26"/>
          <w:szCs w:val="26"/>
        </w:rPr>
        <w:t xml:space="preserve">1.4 Document Status &amp; Conventions</w:t>
      </w:r>
    </w:p>
    <w:p>
      <w:pPr>
        <w:spacing w:after="120"/>
      </w:pPr>
      <w:r>
        <w:rPr>
          <w:rFonts w:ascii="Arial" w:cs="Arial" w:eastAsia="Arial" w:hAnsi="Arial"/>
          <w:b w:val="false"/>
          <w:bCs w:val="false"/>
          <w:color w:val="000000"/>
          <w:sz w:val="22"/>
          <w:szCs w:val="22"/>
        </w:rPr>
        <w:t xml:space="preserve">Items marked [TBD] represent open decisions pending further technical, clinical, or legal evaluation. Items marked [Note] carry an advisory or constraint that reviewers should flag.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[TBD]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 decision — requires resolution before implementation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[Note]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Advisory or constraint — must be reviewed by relevant stakeholder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v0.1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Initial outline draft — structure and scope, not final specifications</w:t>
            </w:r>
          </w:p>
        </w:tc>
      </w:tr>
    </w:tbl>
    <w:p>
      <w:pPr>
        <w:spacing w:after="80"/>
      </w:pPr>
    </w:p>
    <w:p>
      <w:r>
        <w:br w:type="page"/>
      </w:r>
    </w:p>
    <w:p>
      <w:pPr>
        <w:pStyle w:val="Heading1"/>
      </w:pPr>
      <w:r>
        <w:rPr>
          <w:rFonts w:ascii="Arial" w:cs="Arial" w:eastAsia="Arial" w:hAnsi="Arial"/>
          <w:b/>
          <w:bCs/>
          <w:color w:val="1F4E79"/>
          <w:sz w:val="32"/>
          <w:szCs w:val="32"/>
        </w:rPr>
        <w:t xml:space="preserve">2. System Overview</w:t>
      </w:r>
    </w:p>
    <w:p>
      <w:pPr>
        <w:pBdr>
          <w:bottom w:val="single" w:color="D0D0D0" w:sz="4"/>
        </w:pBdr>
        <w:spacing w:after="200"/>
      </w:pPr>
    </w:p>
    <w:p>
      <w:pPr>
        <w:pStyle w:val="Heading2"/>
      </w:pPr>
      <w:r>
        <w:rPr>
          <w:rFonts w:ascii="Arial" w:cs="Arial" w:eastAsia="Arial" w:hAnsi="Arial"/>
          <w:b/>
          <w:bCs/>
          <w:color w:val="1F4E79"/>
          <w:sz w:val="26"/>
          <w:szCs w:val="26"/>
        </w:rPr>
        <w:t xml:space="preserve">2.1 Mission Statement</w:t>
      </w:r>
    </w:p>
    <w:p>
      <w:pPr>
        <w:spacing w:after="120"/>
      </w:pPr>
      <w:r>
        <w:rPr>
          <w:rFonts w:ascii="Arial" w:cs="Arial" w:eastAsia="Arial" w:hAnsi="Arial"/>
          <w:b w:val="false"/>
          <w:bCs w:val="false"/>
          <w:color w:val="000000"/>
          <w:sz w:val="22"/>
          <w:szCs w:val="22"/>
        </w:rPr>
        <w:t xml:space="preserve">Democratize access to healthcare by connecting underserved patients globally with licensed physicians through a low-infrastructure, multilingual, video and audio-based telehealth platform.</w:t>
      </w:r>
    </w:p>
    <w:p>
      <w:pPr>
        <w:spacing w:after="80"/>
      </w:pPr>
    </w:p>
    <w:p>
      <w:pPr>
        <w:pStyle w:val="Heading2"/>
      </w:pPr>
      <w:r>
        <w:rPr>
          <w:rFonts w:ascii="Arial" w:cs="Arial" w:eastAsia="Arial" w:hAnsi="Arial"/>
          <w:b/>
          <w:bCs/>
          <w:color w:val="1F4E79"/>
          <w:sz w:val="26"/>
          <w:szCs w:val="26"/>
        </w:rPr>
        <w:t xml:space="preserve">2.2 Core Modalities</w:t>
      </w:r>
    </w:p>
    <w:p>
      <w:pPr>
        <w:spacing w:after="120"/>
      </w:pPr>
      <w:r>
        <w:rPr>
          <w:rFonts w:ascii="Arial" w:cs="Arial" w:eastAsia="Arial" w:hAnsi="Arial"/>
          <w:b w:val="false"/>
          <w:bCs w:val="false"/>
          <w:color w:val="000000"/>
          <w:sz w:val="22"/>
          <w:szCs w:val="22"/>
        </w:rPr>
        <w:t xml:space="preserve">The platform supports three consultation modalities: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Modality</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Constraint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Live Video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Real-time video call between patient and physician with translation and annotation tools.</w:t>
            </w:r>
          </w:p>
        </w:tc>
        <w:tc>
          <w:tcPr>
            <w:tcW w:type="dxa" w:w="316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tcPr>
          <w:p>
            <w:r>
              <w:rPr>
                <w:rFonts w:ascii="Arial" w:cs="Arial" w:eastAsia="Arial" w:hAnsi="Arial"/>
                <w:color w:val="000000"/>
                <w:sz w:val="20"/>
                <w:szCs w:val="20"/>
              </w:rPr>
              <w:t xml:space="preserve">Doctor must be available in real time. Patient jurisdiction licensing required.</w:t>
            </w:r>
          </w:p>
        </w:tc>
      </w:tr>
      <w:tr>
        <w:tc>
          <w:tcPr>
            <w:tcW w:type="dxa" w:w="2200"/>
            <w:tcBorders>
              <w:top w:val="single" w:color="CCCCCC" w:sz="1"/>
              <w:left w:val="single" w:color="CCCCCC" w:sz="1"/>
              <w:bottom w:val="single" w:color="CCCCCC" w:sz="1"/>
              <w:right w:val="single" w:color="CCCCCC" w:sz="1"/>
            </w:tcBorders>
            <w:shd w:fill="D9F0EB" w:val="clear"/>
            <w:tcMar>
              <w:top w:type="dxa" w:w="80"/>
              <w:left w:type="dxa" w:w="120"/>
              <w:bottom w:type="dxa" w:w="80"/>
              <w:right w:type="dxa" w:w="120"/>
            </w:tcMar>
          </w:tcPr>
          <w:p>
            <w:r>
              <w:rPr>
                <w:rFonts w:ascii="Arial" w:cs="Arial" w:eastAsia="Arial" w:hAnsi="Arial"/>
                <w:color w:val="0F6E56"/>
                <w:sz w:val="20"/>
                <w:szCs w:val="20"/>
              </w:rPr>
              <w:t xml:space="preserve">Audio Call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Real-time voice-only call for patients with limited video capability or bandwidth constraints.</w:t>
            </w:r>
          </w:p>
        </w:tc>
        <w:tc>
          <w:tcPr>
            <w:tcW w:type="dxa" w:w="3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000000"/>
                <w:sz w:val="20"/>
                <w:szCs w:val="20"/>
              </w:rPr>
              <w:t xml:space="preserve">[TBD] — scope, feature parity with live video, and fallback logic to be defined.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Async Video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Patient submits a recorded symptom video. Physician reviews within a defined SLA window.</w:t>
            </w:r>
          </w:p>
        </w:tc>
        <w:tc>
          <w:tcPr>
            <w:tcW w:type="dxa" w:w="316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tcPr>
          <w:p>
            <w:r>
              <w:rPr>
                <w:rFonts w:ascii="Arial" w:cs="Arial" w:eastAsia="Arial" w:hAnsi="Arial"/>
                <w:color w:val="000000"/>
                <w:sz w:val="20"/>
                <w:szCs w:val="20"/>
              </w:rPr>
              <w:t xml:space="preserve">Submission expiry window enforced. Emergency symptom profiles excluded from async.</w:t>
            </w:r>
          </w:p>
        </w:tc>
      </w:tr>
    </w:tbl>
    <w:p>
      <w:pPr>
        <w:spacing w:after="160"/>
      </w:pPr>
    </w:p>
    <w:p>
      <w:pPr>
        <w:pStyle w:val="Heading2"/>
      </w:pPr>
      <w:r>
        <w:rPr>
          <w:rFonts w:ascii="Arial" w:cs="Arial" w:eastAsia="Arial" w:hAnsi="Arial"/>
          <w:b/>
          <w:bCs/>
          <w:color w:val="1F4E79"/>
          <w:sz w:val="26"/>
          <w:szCs w:val="26"/>
        </w:rPr>
        <w:t xml:space="preserve">2.3 High-Level User Journey</w:t>
      </w:r>
    </w:p>
    <w:p>
      <w:pPr>
        <w:pStyle w:val="ListParagraph"/>
        <w:numPr>
          <w:ilvl w:val="0"/>
          <w:numId w:val="3"/>
        </w:numPr>
        <w:spacing w:after="80"/>
      </w:pPr>
      <w:r>
        <w:rPr>
          <w:rFonts w:ascii="Arial" w:cs="Arial" w:eastAsia="Arial" w:hAnsi="Arial"/>
          <w:sz w:val="22"/>
          <w:szCs w:val="22"/>
        </w:rPr>
        <w:t xml:space="preserve">Patient opens platform and completes intake questionnaire (body map, pain scale, history).</w:t>
      </w:r>
    </w:p>
    <w:p>
      <w:pPr>
        <w:pStyle w:val="ListParagraph"/>
        <w:numPr>
          <w:ilvl w:val="0"/>
          <w:numId w:val="3"/>
        </w:numPr>
        <w:spacing w:after="80"/>
      </w:pPr>
      <w:r>
        <w:rPr>
          <w:rFonts w:ascii="Arial" w:cs="Arial" w:eastAsia="Arial" w:hAnsi="Arial"/>
          <w:sz w:val="22"/>
          <w:szCs w:val="22"/>
        </w:rPr>
        <w:t xml:space="preserve">AI triage engine assigns urgency level and routes patient to appropriate modality and queue.</w:t>
      </w:r>
    </w:p>
    <w:p>
      <w:pPr>
        <w:pStyle w:val="ListParagraph"/>
        <w:numPr>
          <w:ilvl w:val="0"/>
          <w:numId w:val="3"/>
        </w:numPr>
        <w:spacing w:after="80"/>
      </w:pPr>
      <w:r>
        <w:rPr>
          <w:rFonts w:ascii="Arial" w:cs="Arial" w:eastAsia="Arial" w:hAnsi="Arial"/>
          <w:sz w:val="22"/>
          <w:szCs w:val="22"/>
        </w:rPr>
        <w:t xml:space="preserve">Patient enters live video queue, initiates audio call, or submits async video.</w:t>
      </w:r>
    </w:p>
    <w:p>
      <w:pPr>
        <w:pStyle w:val="ListParagraph"/>
        <w:numPr>
          <w:ilvl w:val="0"/>
          <w:numId w:val="3"/>
        </w:numPr>
        <w:spacing w:after="80"/>
      </w:pPr>
      <w:r>
        <w:rPr>
          <w:rFonts w:ascii="Arial" w:cs="Arial" w:eastAsia="Arial" w:hAnsi="Arial"/>
          <w:sz w:val="22"/>
          <w:szCs w:val="22"/>
        </w:rPr>
        <w:t xml:space="preserve">Translation layer activates for all audio and text in the session or submission.</w:t>
      </w:r>
    </w:p>
    <w:p>
      <w:pPr>
        <w:pStyle w:val="ListParagraph"/>
        <w:numPr>
          <w:ilvl w:val="0"/>
          <w:numId w:val="3"/>
        </w:numPr>
        <w:spacing w:after="80"/>
      </w:pPr>
      <w:r>
        <w:rPr>
          <w:rFonts w:ascii="Arial" w:cs="Arial" w:eastAsia="Arial" w:hAnsi="Arial"/>
          <w:sz w:val="22"/>
          <w:szCs w:val="22"/>
        </w:rPr>
        <w:t xml:space="preserve">Physician receives routed case, reviews AI annotation draft, conducts or reviews consultation.</w:t>
      </w:r>
    </w:p>
    <w:p>
      <w:pPr>
        <w:pStyle w:val="ListParagraph"/>
        <w:numPr>
          <w:ilvl w:val="0"/>
          <w:numId w:val="3"/>
        </w:numPr>
        <w:spacing w:after="80"/>
      </w:pPr>
      <w:r>
        <w:rPr>
          <w:rFonts w:ascii="Arial" w:cs="Arial" w:eastAsia="Arial" w:hAnsi="Arial"/>
          <w:sz w:val="22"/>
          <w:szCs w:val="22"/>
        </w:rPr>
        <w:t xml:space="preserve">Physician confirms, amends, or overrides AI annotation and issues clinical guidance response.</w:t>
      </w:r>
    </w:p>
    <w:p>
      <w:pPr>
        <w:pStyle w:val="ListParagraph"/>
        <w:numPr>
          <w:ilvl w:val="0"/>
          <w:numId w:val="3"/>
        </w:numPr>
        <w:spacing w:after="80"/>
      </w:pPr>
      <w:r>
        <w:rPr>
          <w:rFonts w:ascii="Arial" w:cs="Arial" w:eastAsia="Arial" w:hAnsi="Arial"/>
          <w:sz w:val="22"/>
          <w:szCs w:val="22"/>
        </w:rPr>
        <w:t xml:space="preserve">Patient receives disposition (guidance note, referral, or escalation to emergency services).</w:t>
      </w:r>
    </w:p>
    <w:p>
      <w:pPr>
        <w:spacing w:after="80"/>
      </w:pPr>
    </w:p>
    <w:p>
      <w:pPr>
        <w:pStyle w:val="Heading2"/>
      </w:pPr>
      <w:r>
        <w:rPr>
          <w:rFonts w:ascii="Arial" w:cs="Arial" w:eastAsia="Arial" w:hAnsi="Arial"/>
          <w:b/>
          <w:bCs/>
          <w:color w:val="1F4E79"/>
          <w:sz w:val="26"/>
          <w:szCs w:val="26"/>
        </w:rPr>
        <w:t xml:space="preserve">2.4 Non-Goals (Out of Scope v1.0)</w:t>
      </w:r>
    </w:p>
    <w:p>
      <w:pPr>
        <w:pStyle w:val="ListParagraph"/>
        <w:numPr>
          <w:ilvl w:val="0"/>
          <w:numId w:val="2"/>
        </w:numPr>
        <w:spacing w:after="80"/>
      </w:pPr>
      <w:r>
        <w:rPr>
          <w:rFonts w:ascii="Arial" w:cs="Arial" w:eastAsia="Arial" w:hAnsi="Arial"/>
          <w:sz w:val="22"/>
          <w:szCs w:val="22"/>
        </w:rPr>
        <w:t xml:space="preserve">Electronic prescribing (e-prescribing) — [TBD] for jurisdictions where legally permitted in later phases</w:t>
      </w:r>
    </w:p>
    <w:p>
      <w:pPr>
        <w:pStyle w:val="ListParagraph"/>
        <w:numPr>
          <w:ilvl w:val="0"/>
          <w:numId w:val="2"/>
        </w:numPr>
        <w:spacing w:after="80"/>
      </w:pPr>
      <w:r>
        <w:rPr>
          <w:rFonts w:ascii="Arial" w:cs="Arial" w:eastAsia="Arial" w:hAnsi="Arial"/>
          <w:sz w:val="22"/>
          <w:szCs w:val="22"/>
        </w:rPr>
        <w:t xml:space="preserve">Diagnostic imaging upload and review</w:t>
      </w:r>
    </w:p>
    <w:p>
      <w:pPr>
        <w:pStyle w:val="ListParagraph"/>
        <w:numPr>
          <w:ilvl w:val="0"/>
          <w:numId w:val="2"/>
        </w:numPr>
        <w:spacing w:after="80"/>
      </w:pPr>
      <w:r>
        <w:rPr>
          <w:rFonts w:ascii="Arial" w:cs="Arial" w:eastAsia="Arial" w:hAnsi="Arial"/>
          <w:sz w:val="22"/>
          <w:szCs w:val="22"/>
        </w:rPr>
        <w:t xml:space="preserve">Wearable device integration</w:t>
      </w:r>
    </w:p>
    <w:p>
      <w:pPr>
        <w:pStyle w:val="ListParagraph"/>
        <w:numPr>
          <w:ilvl w:val="0"/>
          <w:numId w:val="2"/>
        </w:numPr>
        <w:spacing w:after="80"/>
      </w:pPr>
      <w:r>
        <w:rPr>
          <w:rFonts w:ascii="Arial" w:cs="Arial" w:eastAsia="Arial" w:hAnsi="Arial"/>
          <w:sz w:val="22"/>
          <w:szCs w:val="22"/>
        </w:rPr>
        <w:t xml:space="preserve">Insurance billing and claims processing</w:t>
      </w:r>
    </w:p>
    <w:p>
      <w:pPr>
        <w:pStyle w:val="ListParagraph"/>
        <w:numPr>
          <w:ilvl w:val="0"/>
          <w:numId w:val="2"/>
        </w:numPr>
        <w:spacing w:after="80"/>
      </w:pPr>
      <w:r>
        <w:rPr>
          <w:rFonts w:ascii="Arial" w:cs="Arial" w:eastAsia="Arial" w:hAnsi="Arial"/>
          <w:sz w:val="22"/>
          <w:szCs w:val="22"/>
        </w:rPr>
        <w:t xml:space="preserve">Patient health record portability (FHIR integration) — [TBD] future phase</w:t>
      </w:r>
    </w:p>
    <w:p>
      <w:pPr>
        <w:spacing w:after="80"/>
      </w:pPr>
    </w:p>
    <w:p>
      <w:r>
        <w:br w:type="page"/>
      </w:r>
    </w:p>
    <w:p>
      <w:pPr>
        <w:pStyle w:val="Heading1"/>
      </w:pPr>
      <w:r>
        <w:rPr>
          <w:rFonts w:ascii="Arial" w:cs="Arial" w:eastAsia="Arial" w:hAnsi="Arial"/>
          <w:b/>
          <w:bCs/>
          <w:color w:val="1F4E79"/>
          <w:sz w:val="32"/>
          <w:szCs w:val="32"/>
        </w:rPr>
        <w:t xml:space="preserve">3. Stakeholders &amp; User Roles</w:t>
      </w:r>
    </w:p>
    <w:p>
      <w:pPr>
        <w:pBdr>
          <w:bottom w:val="single" w:color="D0D0D0" w:sz="4"/>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Interactions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Patient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End user seeking clinical guidance. May have limited digital literacy or bandwidth.</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000000"/>
                <w:sz w:val="20"/>
                <w:szCs w:val="20"/>
              </w:rPr>
              <w:t xml:space="preserve">Intake form, modality selection, session interface, guidance receipt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Physician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Licensed doctor reviewing cases and delivering clinical guidance. Volunteer or partner-employed.</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000000"/>
                <w:sz w:val="20"/>
                <w:szCs w:val="20"/>
              </w:rPr>
              <w:t xml:space="preserve">Physician dashboard, queue management, annotation tool, response composer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Triage Operator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[TBD] — Human reviewer who monitors AI triage output and handles escalation edge cases.</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000000"/>
                <w:sz w:val="20"/>
                <w:szCs w:val="20"/>
              </w:rPr>
              <w:t xml:space="preserve">Triage oversight console, escalation queue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Platform Administrator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Manages physician credentialing, jurisdiction routing rules, SLA monitoring, and system health.</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000000"/>
                <w:sz w:val="20"/>
                <w:szCs w:val="20"/>
              </w:rPr>
              <w:t xml:space="preserve">Admin console, credentialing DB, SLA dashboards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Clinical Supervisor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[TBD] — Senior physician role overseeing quality of responses and physician compliance.</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000000"/>
                <w:sz w:val="20"/>
                <w:szCs w:val="20"/>
              </w:rPr>
              <w:t xml:space="preserve">Case review queue, outcome tagging, quality metrics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Legal/Compliance Officer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Reviews jurisdiction-specific operating conditions and consent framework.</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000000"/>
                <w:sz w:val="20"/>
                <w:szCs w:val="20"/>
              </w:rPr>
              <w:t xml:space="preserve">Compliance dashboard, consent audit logs</w:t>
            </w:r>
          </w:p>
        </w:tc>
      </w:tr>
    </w:tbl>
    <w:p>
      <w:pPr>
        <w:spacing w:after="160"/>
      </w:pPr>
    </w:p>
    <w:p>
      <w:r>
        <w:br w:type="page"/>
      </w:r>
    </w:p>
    <w:p>
      <w:pPr>
        <w:pStyle w:val="Heading1"/>
      </w:pPr>
      <w:r>
        <w:rPr>
          <w:rFonts w:ascii="Arial" w:cs="Arial" w:eastAsia="Arial" w:hAnsi="Arial"/>
          <w:b/>
          <w:bCs/>
          <w:color w:val="1F4E79"/>
          <w:sz w:val="32"/>
          <w:szCs w:val="32"/>
        </w:rPr>
        <w:t xml:space="preserve">4. System Architecture</w:t>
      </w:r>
    </w:p>
    <w:p>
      <w:pPr>
        <w:pBdr>
          <w:bottom w:val="single" w:color="D0D0D0" w:sz="4"/>
        </w:pBdr>
        <w:spacing w:after="200"/>
      </w:pPr>
    </w:p>
    <w:p>
      <w:pPr>
        <w:pStyle w:val="Heading2"/>
      </w:pPr>
      <w:r>
        <w:rPr>
          <w:rFonts w:ascii="Arial" w:cs="Arial" w:eastAsia="Arial" w:hAnsi="Arial"/>
          <w:b/>
          <w:bCs/>
          <w:color w:val="1F4E79"/>
          <w:sz w:val="26"/>
          <w:szCs w:val="26"/>
        </w:rPr>
        <w:t xml:space="preserve">4.1 Architecture Style</w:t>
      </w:r>
    </w:p>
    <w:p>
      <w:pPr>
        <w:spacing w:after="120"/>
      </w:pPr>
      <w:r>
        <w:rPr>
          <w:rFonts w:ascii="Arial" w:cs="Arial" w:eastAsia="Arial" w:hAnsi="Arial"/>
          <w:b/>
          <w:bCs/>
          <w:color w:val="C00000"/>
          <w:sz w:val="22"/>
          <w:szCs w:val="22"/>
        </w:rPr>
        <w:t xml:space="preserve">[TBD] </w:t>
      </w:r>
      <w:r>
        <w:rPr>
          <w:rFonts w:ascii="Arial" w:cs="Arial" w:eastAsia="Arial" w:hAnsi="Arial"/>
          <w:color w:val="595959"/>
          <w:sz w:val="22"/>
          <w:szCs w:val="22"/>
        </w:rPr>
        <w:t xml:space="preserve">Final architecture pattern (microservices vs. modular monolith vs. event-driven) to be determined following infrastructure cost modeling and team capacity assessment.</w:t>
      </w:r>
    </w:p>
    <w:p>
      <w:pPr>
        <w:spacing w:after="120"/>
      </w:pPr>
      <w:r>
        <w:rPr>
          <w:rFonts w:ascii="Arial" w:cs="Arial" w:eastAsia="Arial" w:hAnsi="Arial"/>
          <w:b w:val="false"/>
          <w:bCs w:val="false"/>
          <w:color w:val="000000"/>
          <w:sz w:val="22"/>
          <w:szCs w:val="22"/>
        </w:rPr>
        <w:t xml:space="preserve">Candidate patterns under evaluation:</w:t>
      </w:r>
    </w:p>
    <w:p>
      <w:pPr>
        <w:pStyle w:val="ListParagraph"/>
        <w:numPr>
          <w:ilvl w:val="0"/>
          <w:numId w:val="2"/>
        </w:numPr>
        <w:spacing w:after="80"/>
      </w:pPr>
      <w:r>
        <w:rPr>
          <w:rFonts w:ascii="Arial" w:cs="Arial" w:eastAsia="Arial" w:hAnsi="Arial"/>
          <w:sz w:val="22"/>
          <w:szCs w:val="22"/>
        </w:rPr>
        <w:t xml:space="preserve">Microservices — recommended for long-term scalability and independent deployment of triage, translation, and video modules</w:t>
      </w:r>
    </w:p>
    <w:p>
      <w:pPr>
        <w:pStyle w:val="ListParagraph"/>
        <w:numPr>
          <w:ilvl w:val="0"/>
          <w:numId w:val="2"/>
        </w:numPr>
        <w:spacing w:after="80"/>
      </w:pPr>
      <w:r>
        <w:rPr>
          <w:rFonts w:ascii="Arial" w:cs="Arial" w:eastAsia="Arial" w:hAnsi="Arial"/>
          <w:sz w:val="22"/>
          <w:szCs w:val="22"/>
        </w:rPr>
        <w:t xml:space="preserve">Modular monolith — lower operational overhead for pilot phase</w:t>
      </w:r>
    </w:p>
    <w:p>
      <w:pPr>
        <w:pStyle w:val="ListParagraph"/>
        <w:numPr>
          <w:ilvl w:val="0"/>
          <w:numId w:val="2"/>
        </w:numPr>
        <w:spacing w:after="80"/>
      </w:pPr>
      <w:r>
        <w:rPr>
          <w:rFonts w:ascii="Arial" w:cs="Arial" w:eastAsia="Arial" w:hAnsi="Arial"/>
          <w:sz w:val="22"/>
          <w:szCs w:val="22"/>
        </w:rPr>
        <w:t xml:space="preserve">Event-driven backbone (e.g., message queue for async submission pipeline) — likely regardless of broader pattern</w:t>
      </w:r>
    </w:p>
    <w:p>
      <w:pPr>
        <w:spacing w:after="80"/>
      </w:pPr>
    </w:p>
    <w:p>
      <w:pPr>
        <w:pStyle w:val="Heading2"/>
      </w:pPr>
      <w:r>
        <w:rPr>
          <w:rFonts w:ascii="Arial" w:cs="Arial" w:eastAsia="Arial" w:hAnsi="Arial"/>
          <w:b/>
          <w:bCs/>
          <w:color w:val="1F4E79"/>
          <w:sz w:val="26"/>
          <w:szCs w:val="26"/>
        </w:rPr>
        <w:t xml:space="preserve">4.2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Candidate / Decision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Frontend (Patient)</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Must support low-end Android, 3G bandwidth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Frontend (Physician)</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Optimized for desktop clinical workflow</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Backend API</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REST or GraphQL TBD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Real-time Video</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HIPAA-eligible vendor required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Audio Call</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Must support low-bandwidth fallback</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Async Video Storage</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Geographic data residency enforcement required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AI Triage Engine</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SaMD regulatory review required before deployment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Translation</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Medical terminology validation layer required on top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Database</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Per-region instance required for data residency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Queue / Messaging</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Used for async pipeline and live queue management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Infrastructure</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Must support data residency per patient jurisdiction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Auth &amp; Identity</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Physician credential verification integration required</w:t>
            </w:r>
          </w:p>
        </w:tc>
      </w:tr>
    </w:tbl>
    <w:p>
      <w:pPr>
        <w:spacing w:after="160"/>
      </w:pPr>
    </w:p>
    <w:p>
      <w:pPr>
        <w:pStyle w:val="Heading2"/>
      </w:pPr>
      <w:r>
        <w:rPr>
          <w:rFonts w:ascii="Arial" w:cs="Arial" w:eastAsia="Arial" w:hAnsi="Arial"/>
          <w:b/>
          <w:bCs/>
          <w:color w:val="1F4E79"/>
          <w:sz w:val="26"/>
          <w:szCs w:val="26"/>
        </w:rPr>
        <w:t xml:space="preserve">4.3 Deployment Model</w:t>
      </w:r>
    </w:p>
    <w:p>
      <w:pPr>
        <w:spacing w:after="120"/>
      </w:pPr>
      <w:r>
        <w:rPr>
          <w:rFonts w:ascii="Arial" w:cs="Arial" w:eastAsia="Arial" w:hAnsi="Arial"/>
          <w:b/>
          <w:bCs/>
          <w:color w:val="C00000"/>
          <w:sz w:val="22"/>
          <w:szCs w:val="22"/>
        </w:rPr>
        <w:t xml:space="preserve">[TBD] </w:t>
      </w:r>
      <w:r>
        <w:rPr>
          <w:rFonts w:ascii="Arial" w:cs="Arial" w:eastAsia="Arial" w:hAnsi="Arial"/>
          <w:color w:val="595959"/>
          <w:sz w:val="22"/>
          <w:szCs w:val="22"/>
        </w:rPr>
        <w:t xml:space="preserve">Cloud provider selection and multi-region deployment topology pending infrastructure cost analysis and data residency legal mapping per target jurisdictions.</w:t>
      </w:r>
    </w:p>
    <w:p>
      <w:pPr>
        <w:spacing w:after="120"/>
      </w:pPr>
      <w:r>
        <w:rPr>
          <w:rFonts w:ascii="Arial" w:cs="Arial" w:eastAsia="Arial" w:hAnsi="Arial"/>
          <w:b w:val="false"/>
          <w:bCs w:val="false"/>
          <w:color w:val="000000"/>
          <w:sz w:val="22"/>
          <w:szCs w:val="22"/>
        </w:rPr>
        <w:t xml:space="preserve">Requirements that will constrain the deployment model:</w:t>
      </w:r>
    </w:p>
    <w:p>
      <w:pPr>
        <w:pStyle w:val="ListParagraph"/>
        <w:numPr>
          <w:ilvl w:val="0"/>
          <w:numId w:val="2"/>
        </w:numPr>
        <w:spacing w:after="80"/>
      </w:pPr>
      <w:r>
        <w:rPr>
          <w:rFonts w:ascii="Arial" w:cs="Arial" w:eastAsia="Arial" w:hAnsi="Arial"/>
          <w:sz w:val="22"/>
          <w:szCs w:val="22"/>
        </w:rPr>
        <w:t xml:space="preserve">Data must remain within the patient's region of origin (enforced at infrastructure layer, not policy layer).</w:t>
      </w:r>
    </w:p>
    <w:p>
      <w:pPr>
        <w:pStyle w:val="ListParagraph"/>
        <w:numPr>
          <w:ilvl w:val="0"/>
          <w:numId w:val="2"/>
        </w:numPr>
        <w:spacing w:after="80"/>
      </w:pPr>
      <w:r>
        <w:rPr>
          <w:rFonts w:ascii="Arial" w:cs="Arial" w:eastAsia="Arial" w:hAnsi="Arial"/>
          <w:sz w:val="22"/>
          <w:szCs w:val="22"/>
        </w:rPr>
        <w:t xml:space="preserve">Physician-facing services may be centralized if no patient data is co-located without explicit consent.</w:t>
      </w:r>
    </w:p>
    <w:p>
      <w:pPr>
        <w:pStyle w:val="ListParagraph"/>
        <w:numPr>
          <w:ilvl w:val="0"/>
          <w:numId w:val="2"/>
        </w:numPr>
        <w:spacing w:after="80"/>
      </w:pPr>
      <w:r>
        <w:rPr>
          <w:rFonts w:ascii="Arial" w:cs="Arial" w:eastAsia="Arial" w:hAnsi="Arial"/>
          <w:sz w:val="22"/>
          <w:szCs w:val="22"/>
        </w:rPr>
        <w:t xml:space="preserve">Video streaming infrastructure must be low-latency for live and audio modalities.</w:t>
      </w:r>
    </w:p>
    <w:p>
      <w:pPr>
        <w:pStyle w:val="ListParagraph"/>
        <w:numPr>
          <w:ilvl w:val="0"/>
          <w:numId w:val="2"/>
        </w:numPr>
        <w:spacing w:after="80"/>
      </w:pPr>
      <w:r>
        <w:rPr>
          <w:rFonts w:ascii="Arial" w:cs="Arial" w:eastAsia="Arial" w:hAnsi="Arial"/>
          <w:sz w:val="22"/>
          <w:szCs w:val="22"/>
        </w:rPr>
        <w:t xml:space="preserve">Async pipeline must support queued processing at low operational cost during off-peak hours.</w:t>
      </w:r>
    </w:p>
    <w:p>
      <w:pPr>
        <w:spacing w:after="80"/>
      </w:pPr>
    </w:p>
    <w:p>
      <w:r>
        <w:br w:type="page"/>
      </w:r>
    </w:p>
    <w:p>
      <w:pPr>
        <w:pStyle w:val="Heading1"/>
      </w:pPr>
      <w:r>
        <w:rPr>
          <w:rFonts w:ascii="Arial" w:cs="Arial" w:eastAsia="Arial" w:hAnsi="Arial"/>
          <w:b/>
          <w:bCs/>
          <w:color w:val="1F4E79"/>
          <w:sz w:val="32"/>
          <w:szCs w:val="32"/>
        </w:rPr>
        <w:t xml:space="preserve">5. Core Modules</w:t>
      </w:r>
    </w:p>
    <w:p>
      <w:pPr>
        <w:pBdr>
          <w:bottom w:val="single" w:color="D0D0D0" w:sz="4"/>
        </w:pBdr>
        <w:spacing w:after="200"/>
      </w:pPr>
    </w:p>
    <w:p>
      <w:pPr>
        <w:pStyle w:val="Heading2"/>
      </w:pPr>
      <w:r>
        <w:rPr>
          <w:rFonts w:ascii="Arial" w:cs="Arial" w:eastAsia="Arial" w:hAnsi="Arial"/>
          <w:b/>
          <w:bCs/>
          <w:color w:val="1F4E79"/>
          <w:sz w:val="26"/>
          <w:szCs w:val="26"/>
        </w:rPr>
        <w:t xml:space="preserve">5.1 Intake &amp; Triage Module</w:t>
      </w:r>
    </w:p>
    <w:p>
      <w:pPr>
        <w:spacing w:after="120"/>
      </w:pPr>
      <w:r>
        <w:rPr>
          <w:rFonts w:ascii="Arial" w:cs="Arial" w:eastAsia="Arial" w:hAnsi="Arial"/>
          <w:b w:val="false"/>
          <w:bCs w:val="false"/>
          <w:color w:val="000000"/>
          <w:sz w:val="22"/>
          <w:szCs w:val="22"/>
        </w:rPr>
        <w:t xml:space="preserve">The intake module is the first touchpoint for every patient, regardless of modality. It collects structured symptom data and feeds the AI triage engine.</w:t>
      </w:r>
    </w:p>
    <w:p>
      <w:pPr>
        <w:spacing w:after="80"/>
      </w:pPr>
    </w:p>
    <w:p>
      <w:pPr>
        <w:pStyle w:val="Heading3"/>
      </w:pPr>
      <w:r>
        <w:rPr>
          <w:rFonts w:ascii="Arial" w:cs="Arial" w:eastAsia="Arial" w:hAnsi="Arial"/>
          <w:b/>
          <w:bCs/>
          <w:color w:val="595959"/>
          <w:sz w:val="24"/>
          <w:szCs w:val="24"/>
        </w:rPr>
        <w:t xml:space="preserve">5.1.1 Inputs</w:t>
      </w:r>
    </w:p>
    <w:p>
      <w:pPr>
        <w:pStyle w:val="ListParagraph"/>
        <w:numPr>
          <w:ilvl w:val="0"/>
          <w:numId w:val="2"/>
        </w:numPr>
        <w:spacing w:after="80"/>
      </w:pPr>
      <w:r>
        <w:rPr>
          <w:rFonts w:ascii="Arial" w:cs="Arial" w:eastAsia="Arial" w:hAnsi="Arial"/>
          <w:sz w:val="22"/>
          <w:szCs w:val="22"/>
        </w:rPr>
        <w:t xml:space="preserve">Interactive body map — patient selects anatomical region(s) of concern</w:t>
      </w:r>
    </w:p>
    <w:p>
      <w:pPr>
        <w:pStyle w:val="ListParagraph"/>
        <w:numPr>
          <w:ilvl w:val="0"/>
          <w:numId w:val="2"/>
        </w:numPr>
        <w:spacing w:after="80"/>
      </w:pPr>
      <w:r>
        <w:rPr>
          <w:rFonts w:ascii="Arial" w:cs="Arial" w:eastAsia="Arial" w:hAnsi="Arial"/>
          <w:sz w:val="22"/>
          <w:szCs w:val="22"/>
        </w:rPr>
        <w:t xml:space="preserve">Pain/severity scale — numeric (1–10) or categorical (mild / moderate / severe)</w:t>
      </w:r>
    </w:p>
    <w:p>
      <w:pPr>
        <w:pStyle w:val="ListParagraph"/>
        <w:numPr>
          <w:ilvl w:val="0"/>
          <w:numId w:val="2"/>
        </w:numPr>
        <w:spacing w:after="80"/>
      </w:pPr>
      <w:r>
        <w:rPr>
          <w:rFonts w:ascii="Arial" w:cs="Arial" w:eastAsia="Arial" w:hAnsi="Arial"/>
          <w:sz w:val="22"/>
          <w:szCs w:val="22"/>
        </w:rPr>
        <w:t xml:space="preserve">Symptom duration — dropdown selection</w:t>
      </w:r>
    </w:p>
    <w:p>
      <w:pPr>
        <w:pStyle w:val="ListParagraph"/>
        <w:numPr>
          <w:ilvl w:val="0"/>
          <w:numId w:val="2"/>
        </w:numPr>
        <w:spacing w:after="80"/>
      </w:pPr>
      <w:r>
        <w:rPr>
          <w:rFonts w:ascii="Arial" w:cs="Arial" w:eastAsia="Arial" w:hAnsi="Arial"/>
          <w:sz w:val="22"/>
          <w:szCs w:val="22"/>
        </w:rPr>
        <w:t xml:space="preserve">Symptom onset — sudden vs. gradual</w:t>
      </w:r>
    </w:p>
    <w:p>
      <w:pPr>
        <w:pStyle w:val="ListParagraph"/>
        <w:numPr>
          <w:ilvl w:val="0"/>
          <w:numId w:val="2"/>
        </w:numPr>
        <w:spacing w:after="80"/>
      </w:pPr>
      <w:r>
        <w:rPr>
          <w:rFonts w:ascii="Arial" w:cs="Arial" w:eastAsia="Arial" w:hAnsi="Arial"/>
          <w:sz w:val="22"/>
          <w:szCs w:val="22"/>
        </w:rPr>
        <w:t xml:space="preserve">Basic medical history flags — allergies, chronic conditions, current medications</w:t>
      </w:r>
    </w:p>
    <w:p>
      <w:pPr>
        <w:pStyle w:val="ListParagraph"/>
        <w:numPr>
          <w:ilvl w:val="0"/>
          <w:numId w:val="2"/>
        </w:numPr>
        <w:spacing w:after="80"/>
      </w:pPr>
      <w:r>
        <w:rPr>
          <w:rFonts w:ascii="Arial" w:cs="Arial" w:eastAsia="Arial" w:hAnsi="Arial"/>
          <w:sz w:val="22"/>
          <w:szCs w:val="22"/>
        </w:rPr>
        <w:t xml:space="preserve">Age and biological sex — for triage algorithm inputs</w:t>
      </w:r>
    </w:p>
    <w:p>
      <w:pPr>
        <w:spacing w:after="80"/>
      </w:pPr>
    </w:p>
    <w:p>
      <w:pPr>
        <w:pStyle w:val="Heading3"/>
      </w:pPr>
      <w:r>
        <w:rPr>
          <w:rFonts w:ascii="Arial" w:cs="Arial" w:eastAsia="Arial" w:hAnsi="Arial"/>
          <w:b/>
          <w:bCs/>
          <w:color w:val="595959"/>
          <w:sz w:val="24"/>
          <w:szCs w:val="24"/>
        </w:rPr>
        <w:t xml:space="preserve">5.1.2 Triage Engine Outputs</w:t>
      </w:r>
    </w:p>
    <w:p>
      <w:pPr>
        <w:pStyle w:val="ListParagraph"/>
        <w:numPr>
          <w:ilvl w:val="0"/>
          <w:numId w:val="2"/>
        </w:numPr>
        <w:spacing w:after="80"/>
      </w:pPr>
      <w:r>
        <w:rPr>
          <w:rFonts w:ascii="Arial" w:cs="Arial" w:eastAsia="Arial" w:hAnsi="Arial"/>
          <w:sz w:val="22"/>
          <w:szCs w:val="22"/>
        </w:rPr>
        <w:t xml:space="preserve">Urgency level: Emergency / High / Medium / Low</w:t>
      </w:r>
    </w:p>
    <w:p>
      <w:pPr>
        <w:pStyle w:val="ListParagraph"/>
        <w:numPr>
          <w:ilvl w:val="0"/>
          <w:numId w:val="2"/>
        </w:numPr>
        <w:spacing w:after="80"/>
      </w:pPr>
      <w:r>
        <w:rPr>
          <w:rFonts w:ascii="Arial" w:cs="Arial" w:eastAsia="Arial" w:hAnsi="Arial"/>
          <w:sz w:val="22"/>
          <w:szCs w:val="22"/>
        </w:rPr>
        <w:t xml:space="preserve">Routing decision: Live Video / Audio Call / Async Video / Emergency Services</w:t>
      </w:r>
    </w:p>
    <w:p>
      <w:pPr>
        <w:pStyle w:val="ListParagraph"/>
        <w:numPr>
          <w:ilvl w:val="0"/>
          <w:numId w:val="2"/>
        </w:numPr>
        <w:spacing w:after="80"/>
      </w:pPr>
      <w:r>
        <w:rPr>
          <w:rFonts w:ascii="Arial" w:cs="Arial" w:eastAsia="Arial" w:hAnsi="Arial"/>
          <w:sz w:val="22"/>
          <w:szCs w:val="22"/>
        </w:rPr>
        <w:t xml:space="preserve">Estimated queue position and wait time (for live and audio modalities)</w:t>
      </w:r>
    </w:p>
    <w:p>
      <w:pPr>
        <w:spacing w:after="120"/>
      </w:pPr>
      <w:r>
        <w:rPr>
          <w:rFonts w:ascii="Arial" w:cs="Arial" w:eastAsia="Arial" w:hAnsi="Arial"/>
          <w:b/>
          <w:bCs/>
          <w:color w:val="BF8F00"/>
          <w:sz w:val="20"/>
          <w:szCs w:val="20"/>
        </w:rPr>
        <w:t xml:space="preserve">Note: </w:t>
      </w:r>
      <w:r>
        <w:rPr>
          <w:rFonts w:ascii="Arial" w:cs="Arial" w:eastAsia="Arial" w:hAnsi="Arial"/>
          <w:color w:val="595959"/>
          <w:sz w:val="20"/>
          <w:szCs w:val="20"/>
        </w:rPr>
        <w:t xml:space="preserve">The triage AI must output urgency levels and routing decisions only. It must never output condition names, diagnostic language, or treatment recommendations. See Section 9 for regulatory constraints.</w:t>
      </w:r>
    </w:p>
    <w:p>
      <w:pPr>
        <w:spacing w:after="80"/>
      </w:pPr>
    </w:p>
    <w:p>
      <w:pPr>
        <w:pStyle w:val="Heading3"/>
      </w:pPr>
      <w:r>
        <w:rPr>
          <w:rFonts w:ascii="Arial" w:cs="Arial" w:eastAsia="Arial" w:hAnsi="Arial"/>
          <w:b/>
          <w:bCs/>
          <w:color w:val="595959"/>
          <w:sz w:val="24"/>
          <w:szCs w:val="24"/>
        </w:rPr>
        <w:t xml:space="preserve">5.1.3 Hard Exclusion Rules (Non-Overridable)</w:t>
      </w:r>
    </w:p>
    <w:p>
      <w:pPr>
        <w:spacing w:after="120"/>
      </w:pPr>
      <w:r>
        <w:rPr>
          <w:rFonts w:ascii="Arial" w:cs="Arial" w:eastAsia="Arial" w:hAnsi="Arial"/>
          <w:b w:val="false"/>
          <w:bCs w:val="false"/>
          <w:color w:val="000000"/>
          <w:sz w:val="22"/>
          <w:szCs w:val="22"/>
        </w:rPr>
        <w:t xml:space="preserve">The following symptom profiles must be routed to Emergency Services regardless of AI triage output. These rules are hardcoded and cannot be overridden by queue load or operator action:</w:t>
      </w:r>
    </w:p>
    <w:p>
      <w:pPr>
        <w:pStyle w:val="ListParagraph"/>
        <w:numPr>
          <w:ilvl w:val="0"/>
          <w:numId w:val="2"/>
        </w:numPr>
        <w:spacing w:after="80"/>
      </w:pPr>
      <w:r>
        <w:rPr>
          <w:rFonts w:ascii="Arial" w:cs="Arial" w:eastAsia="Arial" w:hAnsi="Arial"/>
          <w:sz w:val="22"/>
          <w:szCs w:val="22"/>
        </w:rPr>
        <w:t xml:space="preserve">Chest pain or pressure</w:t>
      </w:r>
    </w:p>
    <w:p>
      <w:pPr>
        <w:pStyle w:val="ListParagraph"/>
        <w:numPr>
          <w:ilvl w:val="0"/>
          <w:numId w:val="2"/>
        </w:numPr>
        <w:spacing w:after="80"/>
      </w:pPr>
      <w:r>
        <w:rPr>
          <w:rFonts w:ascii="Arial" w:cs="Arial" w:eastAsia="Arial" w:hAnsi="Arial"/>
          <w:sz w:val="22"/>
          <w:szCs w:val="22"/>
        </w:rPr>
        <w:t xml:space="preserve">Stroke indicators (sudden facial drooping, arm weakness, speech difficulty)</w:t>
      </w:r>
    </w:p>
    <w:p>
      <w:pPr>
        <w:pStyle w:val="ListParagraph"/>
        <w:numPr>
          <w:ilvl w:val="0"/>
          <w:numId w:val="2"/>
        </w:numPr>
        <w:spacing w:after="80"/>
      </w:pPr>
      <w:r>
        <w:rPr>
          <w:rFonts w:ascii="Arial" w:cs="Arial" w:eastAsia="Arial" w:hAnsi="Arial"/>
          <w:sz w:val="22"/>
          <w:szCs w:val="22"/>
        </w:rPr>
        <w:t xml:space="preserve">Severe difficulty breathing</w:t>
      </w:r>
    </w:p>
    <w:p>
      <w:pPr>
        <w:pStyle w:val="ListParagraph"/>
        <w:numPr>
          <w:ilvl w:val="0"/>
          <w:numId w:val="2"/>
        </w:numPr>
        <w:spacing w:after="80"/>
      </w:pPr>
      <w:r>
        <w:rPr>
          <w:rFonts w:ascii="Arial" w:cs="Arial" w:eastAsia="Arial" w:hAnsi="Arial"/>
          <w:sz w:val="22"/>
          <w:szCs w:val="22"/>
        </w:rPr>
        <w:t xml:space="preserve">Major trauma or injury</w:t>
      </w:r>
    </w:p>
    <w:p>
      <w:pPr>
        <w:pStyle w:val="ListParagraph"/>
        <w:numPr>
          <w:ilvl w:val="0"/>
          <w:numId w:val="2"/>
        </w:numPr>
        <w:spacing w:after="80"/>
      </w:pPr>
      <w:r>
        <w:rPr>
          <w:rFonts w:ascii="Arial" w:cs="Arial" w:eastAsia="Arial" w:hAnsi="Arial"/>
          <w:sz w:val="22"/>
          <w:szCs w:val="22"/>
        </w:rPr>
        <w:t xml:space="preserve">Loss of consciousness</w:t>
      </w:r>
    </w:p>
    <w:p>
      <w:pPr>
        <w:pStyle w:val="ListParagraph"/>
        <w:numPr>
          <w:ilvl w:val="0"/>
          <w:numId w:val="2"/>
        </w:numPr>
        <w:spacing w:after="80"/>
      </w:pPr>
      <w:r>
        <w:rPr>
          <w:rFonts w:ascii="Arial" w:cs="Arial" w:eastAsia="Arial" w:hAnsi="Arial"/>
          <w:sz w:val="22"/>
          <w:szCs w:val="22"/>
        </w:rPr>
        <w:t xml:space="preserve">Suicidal ideation or self-harm</w:t>
      </w:r>
    </w:p>
    <w:p>
      <w:pPr>
        <w:spacing w:after="120"/>
      </w:pPr>
      <w:r>
        <w:rPr>
          <w:rFonts w:ascii="Arial" w:cs="Arial" w:eastAsia="Arial" w:hAnsi="Arial"/>
          <w:b/>
          <w:bCs/>
          <w:color w:val="C00000"/>
          <w:sz w:val="22"/>
          <w:szCs w:val="22"/>
        </w:rPr>
        <w:t xml:space="preserve">[TBD] </w:t>
      </w:r>
      <w:r>
        <w:rPr>
          <w:rFonts w:ascii="Arial" w:cs="Arial" w:eastAsia="Arial" w:hAnsi="Arial"/>
          <w:color w:val="595959"/>
          <w:sz w:val="22"/>
          <w:szCs w:val="22"/>
        </w:rPr>
        <w:t xml:space="preserve">Full clinical exclusion list to be finalized by the Chief Medical Officer and medical advisory board.</w:t>
      </w:r>
    </w:p>
    <w:p>
      <w:pPr>
        <w:spacing w:after="80"/>
      </w:pPr>
    </w:p>
    <w:p>
      <w:pPr>
        <w:pStyle w:val="Heading2"/>
      </w:pPr>
      <w:r>
        <w:rPr>
          <w:rFonts w:ascii="Arial" w:cs="Arial" w:eastAsia="Arial" w:hAnsi="Arial"/>
          <w:b/>
          <w:bCs/>
          <w:color w:val="1F4E79"/>
          <w:sz w:val="26"/>
          <w:szCs w:val="26"/>
        </w:rPr>
        <w:t xml:space="preserve">5.2 Live Video Modality</w:t>
      </w:r>
    </w:p>
    <w:p>
      <w:pPr>
        <w:pStyle w:val="Heading3"/>
      </w:pPr>
      <w:r>
        <w:rPr>
          <w:rFonts w:ascii="Arial" w:cs="Arial" w:eastAsia="Arial" w:hAnsi="Arial"/>
          <w:b/>
          <w:bCs/>
          <w:color w:val="595959"/>
          <w:sz w:val="24"/>
          <w:szCs w:val="24"/>
        </w:rPr>
        <w:t xml:space="preserve">5.2.1 Patient Flow</w:t>
      </w:r>
    </w:p>
    <w:p>
      <w:pPr>
        <w:pStyle w:val="ListParagraph"/>
        <w:numPr>
          <w:ilvl w:val="0"/>
          <w:numId w:val="3"/>
        </w:numPr>
        <w:spacing w:after="80"/>
      </w:pPr>
      <w:r>
        <w:rPr>
          <w:rFonts w:ascii="Arial" w:cs="Arial" w:eastAsia="Arial" w:hAnsi="Arial"/>
          <w:sz w:val="22"/>
          <w:szCs w:val="22"/>
        </w:rPr>
        <w:t xml:space="preserve">Patient triaged to live queue — receives estimated wait time.</w:t>
      </w:r>
    </w:p>
    <w:p>
      <w:pPr>
        <w:pStyle w:val="ListParagraph"/>
        <w:numPr>
          <w:ilvl w:val="0"/>
          <w:numId w:val="3"/>
        </w:numPr>
        <w:spacing w:after="80"/>
      </w:pPr>
      <w:r>
        <w:rPr>
          <w:rFonts w:ascii="Arial" w:cs="Arial" w:eastAsia="Arial" w:hAnsi="Arial"/>
          <w:sz w:val="22"/>
          <w:szCs w:val="22"/>
        </w:rPr>
        <w:t xml:space="preserve">Patient waits in virtual waiting room — can update symptom status at any time.</w:t>
      </w:r>
    </w:p>
    <w:p>
      <w:pPr>
        <w:pStyle w:val="ListParagraph"/>
        <w:numPr>
          <w:ilvl w:val="0"/>
          <w:numId w:val="3"/>
        </w:numPr>
        <w:spacing w:after="80"/>
      </w:pPr>
      <w:r>
        <w:rPr>
          <w:rFonts w:ascii="Arial" w:cs="Arial" w:eastAsia="Arial" w:hAnsi="Arial"/>
          <w:sz w:val="22"/>
          <w:szCs w:val="22"/>
        </w:rPr>
        <w:t xml:space="preserve">Physician accepts next patient from queue — session initiates.</w:t>
      </w:r>
    </w:p>
    <w:p>
      <w:pPr>
        <w:pStyle w:val="ListParagraph"/>
        <w:numPr>
          <w:ilvl w:val="0"/>
          <w:numId w:val="3"/>
        </w:numPr>
        <w:spacing w:after="80"/>
      </w:pPr>
      <w:r>
        <w:rPr>
          <w:rFonts w:ascii="Arial" w:cs="Arial" w:eastAsia="Arial" w:hAnsi="Arial"/>
          <w:sz w:val="22"/>
          <w:szCs w:val="22"/>
        </w:rPr>
        <w:t xml:space="preserve">Video session begins with translation layer active.</w:t>
      </w:r>
    </w:p>
    <w:p>
      <w:pPr>
        <w:pStyle w:val="ListParagraph"/>
        <w:numPr>
          <w:ilvl w:val="0"/>
          <w:numId w:val="3"/>
        </w:numPr>
        <w:spacing w:after="80"/>
      </w:pPr>
      <w:r>
        <w:rPr>
          <w:rFonts w:ascii="Arial" w:cs="Arial" w:eastAsia="Arial" w:hAnsi="Arial"/>
          <w:sz w:val="22"/>
          <w:szCs w:val="22"/>
        </w:rPr>
        <w:t xml:space="preserve">Physician uses annotation tool to mark video feed or uploaded intake body map.</w:t>
      </w:r>
    </w:p>
    <w:p>
      <w:pPr>
        <w:pStyle w:val="ListParagraph"/>
        <w:numPr>
          <w:ilvl w:val="0"/>
          <w:numId w:val="3"/>
        </w:numPr>
        <w:spacing w:after="80"/>
      </w:pPr>
      <w:r>
        <w:rPr>
          <w:rFonts w:ascii="Arial" w:cs="Arial" w:eastAsia="Arial" w:hAnsi="Arial"/>
          <w:sz w:val="22"/>
          <w:szCs w:val="22"/>
        </w:rPr>
        <w:t xml:space="preserve">Session ends — physician composes and sends clinical guidance response.</w:t>
      </w:r>
    </w:p>
    <w:p>
      <w:pPr>
        <w:pStyle w:val="ListParagraph"/>
        <w:numPr>
          <w:ilvl w:val="0"/>
          <w:numId w:val="3"/>
        </w:numPr>
        <w:spacing w:after="80"/>
      </w:pPr>
      <w:r>
        <w:rPr>
          <w:rFonts w:ascii="Arial" w:cs="Arial" w:eastAsia="Arial" w:hAnsi="Arial"/>
          <w:sz w:val="22"/>
          <w:szCs w:val="22"/>
        </w:rPr>
        <w:t xml:space="preserve">Guidance note delivered to patient with referral or follow-up instructions if applicable.</w:t>
      </w:r>
    </w:p>
    <w:p>
      <w:pPr>
        <w:spacing w:after="80"/>
      </w:pPr>
    </w:p>
    <w:p>
      <w:pPr>
        <w:pStyle w:val="Heading3"/>
      </w:pPr>
      <w:r>
        <w:rPr>
          <w:rFonts w:ascii="Arial" w:cs="Arial" w:eastAsia="Arial" w:hAnsi="Arial"/>
          <w:b/>
          <w:bCs/>
          <w:color w:val="595959"/>
          <w:sz w:val="24"/>
          <w:szCs w:val="24"/>
        </w:rPr>
        <w:t xml:space="preserve">5.2.2 Annotation Tool</w:t>
      </w:r>
    </w:p>
    <w:p>
      <w:pPr>
        <w:pStyle w:val="ListParagraph"/>
        <w:numPr>
          <w:ilvl w:val="0"/>
          <w:numId w:val="2"/>
        </w:numPr>
        <w:spacing w:after="80"/>
      </w:pPr>
      <w:r>
        <w:rPr>
          <w:rFonts w:ascii="Arial" w:cs="Arial" w:eastAsia="Arial" w:hAnsi="Arial"/>
          <w:sz w:val="22"/>
          <w:szCs w:val="22"/>
        </w:rPr>
        <w:t xml:space="preserve">Physician can draw, highlight, and label regions on the live video feed</w:t>
      </w:r>
    </w:p>
    <w:p>
      <w:pPr>
        <w:pStyle w:val="ListParagraph"/>
        <w:numPr>
          <w:ilvl w:val="0"/>
          <w:numId w:val="2"/>
        </w:numPr>
        <w:spacing w:after="80"/>
      </w:pPr>
      <w:r>
        <w:rPr>
          <w:rFonts w:ascii="Arial" w:cs="Arial" w:eastAsia="Arial" w:hAnsi="Arial"/>
          <w:sz w:val="22"/>
          <w:szCs w:val="22"/>
        </w:rPr>
        <w:t xml:space="preserve">Annotations are saved as part of the case record</w:t>
      </w:r>
    </w:p>
    <w:p>
      <w:pPr>
        <w:spacing w:after="120"/>
      </w:pPr>
      <w:r>
        <w:rPr>
          <w:rFonts w:ascii="Arial" w:cs="Arial" w:eastAsia="Arial" w:hAnsi="Arial"/>
          <w:b/>
          <w:bCs/>
          <w:color w:val="C00000"/>
          <w:sz w:val="22"/>
          <w:szCs w:val="22"/>
        </w:rPr>
        <w:t xml:space="preserve">[TBD] </w:t>
      </w:r>
      <w:r>
        <w:rPr>
          <w:rFonts w:ascii="Arial" w:cs="Arial" w:eastAsia="Arial" w:hAnsi="Arial"/>
          <w:color w:val="595959"/>
          <w:sz w:val="22"/>
          <w:szCs w:val="22"/>
        </w:rPr>
        <w:t xml:space="preserve">Annotation tool vendor or custom build decision pending UX research with physician pilot group.</w:t>
      </w:r>
    </w:p>
    <w:p>
      <w:pPr>
        <w:spacing w:after="80"/>
      </w:pPr>
    </w:p>
    <w:p>
      <w:pPr>
        <w:pStyle w:val="Heading3"/>
      </w:pPr>
      <w:r>
        <w:rPr>
          <w:rFonts w:ascii="Arial" w:cs="Arial" w:eastAsia="Arial" w:hAnsi="Arial"/>
          <w:b/>
          <w:bCs/>
          <w:color w:val="595959"/>
          <w:sz w:val="24"/>
          <w:szCs w:val="24"/>
        </w:rPr>
        <w:t xml:space="preserve">5.2.3 Queue Management Rules</w:t>
      </w:r>
    </w:p>
    <w:p>
      <w:pPr>
        <w:pStyle w:val="ListParagraph"/>
        <w:numPr>
          <w:ilvl w:val="0"/>
          <w:numId w:val="2"/>
        </w:numPr>
        <w:spacing w:after="80"/>
      </w:pPr>
      <w:r>
        <w:rPr>
          <w:rFonts w:ascii="Arial" w:cs="Arial" w:eastAsia="Arial" w:hAnsi="Arial"/>
          <w:sz w:val="22"/>
          <w:szCs w:val="22"/>
        </w:rPr>
        <w:t xml:space="preserve">Queue ordered by triage urgency level (Emergency &gt; High &gt; Medium &gt; Low)</w:t>
      </w:r>
    </w:p>
    <w:p>
      <w:pPr>
        <w:pStyle w:val="ListParagraph"/>
        <w:numPr>
          <w:ilvl w:val="0"/>
          <w:numId w:val="2"/>
        </w:numPr>
        <w:spacing w:after="80"/>
      </w:pPr>
      <w:r>
        <w:rPr>
          <w:rFonts w:ascii="Arial" w:cs="Arial" w:eastAsia="Arial" w:hAnsi="Arial"/>
          <w:sz w:val="22"/>
          <w:szCs w:val="22"/>
        </w:rPr>
        <w:t xml:space="preserve">Within the same urgency tier, ordering is first-in-first-out (FIFO)</w:t>
      </w:r>
    </w:p>
    <w:p>
      <w:pPr>
        <w:pStyle w:val="ListParagraph"/>
        <w:numPr>
          <w:ilvl w:val="0"/>
          <w:numId w:val="2"/>
        </w:numPr>
        <w:spacing w:after="80"/>
      </w:pPr>
      <w:r>
        <w:rPr>
          <w:rFonts w:ascii="Arial" w:cs="Arial" w:eastAsia="Arial" w:hAnsi="Arial"/>
          <w:sz w:val="22"/>
          <w:szCs w:val="22"/>
        </w:rPr>
        <w:t xml:space="preserve">Patients who have waited beyond a threshold are automatically escalated one urgency tier</w:t>
      </w:r>
    </w:p>
    <w:p>
      <w:pPr>
        <w:spacing w:after="120"/>
      </w:pPr>
      <w:r>
        <w:rPr>
          <w:rFonts w:ascii="Arial" w:cs="Arial" w:eastAsia="Arial" w:hAnsi="Arial"/>
          <w:b/>
          <w:bCs/>
          <w:color w:val="C00000"/>
          <w:sz w:val="22"/>
          <w:szCs w:val="22"/>
        </w:rPr>
        <w:t xml:space="preserve">[TBD] </w:t>
      </w:r>
      <w:r>
        <w:rPr>
          <w:rFonts w:ascii="Arial" w:cs="Arial" w:eastAsia="Arial" w:hAnsi="Arial"/>
          <w:color w:val="595959"/>
          <w:sz w:val="22"/>
          <w:szCs w:val="22"/>
        </w:rPr>
        <w:t xml:space="preserve">Wait time escalation threshold values to be set by clinical operations team.</w:t>
      </w:r>
    </w:p>
    <w:p>
      <w:pPr>
        <w:pStyle w:val="ListParagraph"/>
        <w:numPr>
          <w:ilvl w:val="0"/>
          <w:numId w:val="2"/>
        </w:numPr>
        <w:spacing w:after="80"/>
      </w:pPr>
      <w:r>
        <w:rPr>
          <w:rFonts w:ascii="Arial" w:cs="Arial" w:eastAsia="Arial" w:hAnsi="Arial"/>
          <w:sz w:val="22"/>
          <w:szCs w:val="22"/>
        </w:rPr>
        <w:t xml:space="preserve">Physicians are only shown patients they are licensed to serve based on jurisdiction matching</w:t>
      </w:r>
    </w:p>
    <w:p>
      <w:pPr>
        <w:spacing w:after="80"/>
      </w:pPr>
    </w:p>
    <w:p>
      <w:pPr>
        <w:pStyle w:val="Heading2"/>
      </w:pPr>
      <w:r>
        <w:rPr>
          <w:rFonts w:ascii="Arial" w:cs="Arial" w:eastAsia="Arial" w:hAnsi="Arial"/>
          <w:b/>
          <w:bCs/>
          <w:color w:val="1F4E79"/>
          <w:sz w:val="26"/>
          <w:szCs w:val="26"/>
        </w:rPr>
        <w:t xml:space="preserve">5.3 Audio Call Modality</w:t>
      </w:r>
    </w:p>
    <w:p>
      <w:pPr>
        <w:spacing w:after="120"/>
      </w:pPr>
      <w:r>
        <w:rPr>
          <w:rFonts w:ascii="Arial" w:cs="Arial" w:eastAsia="Arial" w:hAnsi="Arial"/>
          <w:b/>
          <w:bCs/>
          <w:color w:val="BF8F00"/>
          <w:sz w:val="20"/>
          <w:szCs w:val="20"/>
        </w:rPr>
        <w:t xml:space="preserve">Note: </w:t>
      </w:r>
      <w:r>
        <w:rPr>
          <w:rFonts w:ascii="Arial" w:cs="Arial" w:eastAsia="Arial" w:hAnsi="Arial"/>
          <w:color w:val="595959"/>
          <w:sz w:val="20"/>
          <w:szCs w:val="20"/>
        </w:rPr>
        <w:t xml:space="preserve">This modality is under active evaluation. Sections marked [TBD] below require clinical, product, and engineering decisions before specification is finalized.</w:t>
      </w:r>
    </w:p>
    <w:p>
      <w:pPr>
        <w:spacing w:after="80"/>
      </w:pPr>
    </w:p>
    <w:p>
      <w:pPr>
        <w:pStyle w:val="Heading3"/>
      </w:pPr>
      <w:r>
        <w:rPr>
          <w:rFonts w:ascii="Arial" w:cs="Arial" w:eastAsia="Arial" w:hAnsi="Arial"/>
          <w:b/>
          <w:bCs/>
          <w:color w:val="595959"/>
          <w:sz w:val="24"/>
          <w:szCs w:val="24"/>
        </w:rPr>
        <w:t xml:space="preserve">5.3.1 Purpose &amp; Use Cases</w:t>
      </w:r>
    </w:p>
    <w:p>
      <w:pPr>
        <w:spacing w:after="120"/>
      </w:pPr>
      <w:r>
        <w:rPr>
          <w:rFonts w:ascii="Arial" w:cs="Arial" w:eastAsia="Arial" w:hAnsi="Arial"/>
          <w:b w:val="false"/>
          <w:bCs w:val="false"/>
          <w:color w:val="000000"/>
          <w:sz w:val="22"/>
          <w:szCs w:val="22"/>
        </w:rPr>
        <w:t xml:space="preserve">The audio call modality provides a real-time voice-only consultation path for patients who cannot use video due to bandwidth constraints, device limitations, or personal preference. It also serves as an automatic fallback when live video quality degrades below a usable threshold.</w:t>
      </w:r>
    </w:p>
    <w:p>
      <w:pPr>
        <w:spacing w:after="80"/>
      </w:pPr>
    </w:p>
    <w:p>
      <w:pPr>
        <w:pStyle w:val="Heading3"/>
      </w:pPr>
      <w:r>
        <w:rPr>
          <w:rFonts w:ascii="Arial" w:cs="Arial" w:eastAsia="Arial" w:hAnsi="Arial"/>
          <w:b/>
          <w:bCs/>
          <w:color w:val="595959"/>
          <w:sz w:val="24"/>
          <w:szCs w:val="24"/>
        </w:rPr>
        <w:t xml:space="preserve">5.3.2 Feature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Real-time translation (speech-to-speech or speech-to-text-to-speech)</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Quality of spoken medical translation must be validated separately from text translation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Physician annotation (body map only, no video)</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Physician can annotate the patient's intake body map but not a live feed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Automatic fallback from live video to audio call on bandwidth degradation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Threshold trigger and patient notification flow to be designed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Audio call as a primary (non-fallback) modality selection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Patient may select audio call at intake if preferred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Recording and storage of audio sessions</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Consent, encryption, and retention policy required — see Section 8</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SMS-based queue updates for patients without data connectivity during wait</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Dependency on SMS gateway integration</w:t>
            </w:r>
          </w:p>
        </w:tc>
      </w:tr>
    </w:tbl>
    <w:p>
      <w:pPr>
        <w:spacing w:after="80"/>
      </w:pPr>
    </w:p>
    <w:p>
      <w:pPr>
        <w:pStyle w:val="Heading3"/>
      </w:pPr>
      <w:r>
        <w:rPr>
          <w:rFonts w:ascii="Arial" w:cs="Arial" w:eastAsia="Arial" w:hAnsi="Arial"/>
          <w:b/>
          <w:bCs/>
          <w:color w:val="595959"/>
          <w:sz w:val="24"/>
          <w:szCs w:val="24"/>
        </w:rPr>
        <w:t xml:space="preserve">5.3.3 Open Questions</w:t>
      </w:r>
    </w:p>
    <w:p>
      <w:pPr>
        <w:spacing w:after="120"/>
      </w:pPr>
      <w:r>
        <w:rPr>
          <w:rFonts w:ascii="Arial" w:cs="Arial" w:eastAsia="Arial" w:hAnsi="Arial"/>
          <w:b/>
          <w:bCs/>
          <w:color w:val="C00000"/>
          <w:sz w:val="22"/>
          <w:szCs w:val="22"/>
        </w:rPr>
        <w:t xml:space="preserve">[TBD] </w:t>
      </w:r>
      <w:r>
        <w:rPr>
          <w:rFonts w:ascii="Arial" w:cs="Arial" w:eastAsia="Arial" w:hAnsi="Arial"/>
          <w:color w:val="595959"/>
          <w:sz w:val="22"/>
          <w:szCs w:val="22"/>
        </w:rPr>
        <w:t xml:space="preserve">Does audio call share the same queue as live video, or does it have a dedicated queue?</w:t>
      </w:r>
    </w:p>
    <w:p>
      <w:pPr>
        <w:spacing w:after="120"/>
      </w:pPr>
      <w:r>
        <w:rPr>
          <w:rFonts w:ascii="Arial" w:cs="Arial" w:eastAsia="Arial" w:hAnsi="Arial"/>
          <w:b/>
          <w:bCs/>
          <w:color w:val="C00000"/>
          <w:sz w:val="22"/>
          <w:szCs w:val="22"/>
        </w:rPr>
        <w:t xml:space="preserve">[TBD] </w:t>
      </w:r>
      <w:r>
        <w:rPr>
          <w:rFonts w:ascii="Arial" w:cs="Arial" w:eastAsia="Arial" w:hAnsi="Arial"/>
          <w:color w:val="595959"/>
          <w:sz w:val="22"/>
          <w:szCs w:val="22"/>
        </w:rPr>
        <w:t xml:space="preserve">Can a physician serving an audio call simultaneously review async submissions?</w:t>
      </w:r>
    </w:p>
    <w:p>
      <w:pPr>
        <w:spacing w:after="120"/>
      </w:pPr>
      <w:r>
        <w:rPr>
          <w:rFonts w:ascii="Arial" w:cs="Arial" w:eastAsia="Arial" w:hAnsi="Arial"/>
          <w:b/>
          <w:bCs/>
          <w:color w:val="C00000"/>
          <w:sz w:val="22"/>
          <w:szCs w:val="22"/>
        </w:rPr>
        <w:t xml:space="preserve">[TBD] </w:t>
      </w:r>
      <w:r>
        <w:rPr>
          <w:rFonts w:ascii="Arial" w:cs="Arial" w:eastAsia="Arial" w:hAnsi="Arial"/>
          <w:color w:val="595959"/>
          <w:sz w:val="22"/>
          <w:szCs w:val="22"/>
        </w:rPr>
        <w:t xml:space="preserve">What is the minimum audio quality threshold required for the translation layer to function reliably?</w:t>
      </w:r>
    </w:p>
    <w:p>
      <w:pPr>
        <w:spacing w:after="120"/>
      </w:pPr>
      <w:r>
        <w:rPr>
          <w:rFonts w:ascii="Arial" w:cs="Arial" w:eastAsia="Arial" w:hAnsi="Arial"/>
          <w:b/>
          <w:bCs/>
          <w:color w:val="C00000"/>
          <w:sz w:val="22"/>
          <w:szCs w:val="22"/>
        </w:rPr>
        <w:t xml:space="preserve">[TBD] </w:t>
      </w:r>
      <w:r>
        <w:rPr>
          <w:rFonts w:ascii="Arial" w:cs="Arial" w:eastAsia="Arial" w:hAnsi="Arial"/>
          <w:color w:val="595959"/>
          <w:sz w:val="22"/>
          <w:szCs w:val="22"/>
        </w:rPr>
        <w:t xml:space="preserve">How does the physician document findings without visual input — structured note templates or free text?</w:t>
      </w:r>
    </w:p>
    <w:p>
      <w:pPr>
        <w:spacing w:after="80"/>
      </w:pPr>
    </w:p>
    <w:p>
      <w:pPr>
        <w:pStyle w:val="Heading2"/>
      </w:pPr>
      <w:r>
        <w:rPr>
          <w:rFonts w:ascii="Arial" w:cs="Arial" w:eastAsia="Arial" w:hAnsi="Arial"/>
          <w:b/>
          <w:bCs/>
          <w:color w:val="1F4E79"/>
          <w:sz w:val="26"/>
          <w:szCs w:val="26"/>
        </w:rPr>
        <w:t xml:space="preserve">5.4 Async Video Submission Modality</w:t>
      </w:r>
    </w:p>
    <w:p>
      <w:pPr>
        <w:pStyle w:val="Heading3"/>
      </w:pPr>
      <w:r>
        <w:rPr>
          <w:rFonts w:ascii="Arial" w:cs="Arial" w:eastAsia="Arial" w:hAnsi="Arial"/>
          <w:b/>
          <w:bCs/>
          <w:color w:val="595959"/>
          <w:sz w:val="24"/>
          <w:szCs w:val="24"/>
        </w:rPr>
        <w:t xml:space="preserve">5.4.1 Patient Flow</w:t>
      </w:r>
    </w:p>
    <w:p>
      <w:pPr>
        <w:pStyle w:val="ListParagraph"/>
        <w:numPr>
          <w:ilvl w:val="0"/>
          <w:numId w:val="3"/>
        </w:numPr>
        <w:spacing w:after="80"/>
      </w:pPr>
      <w:r>
        <w:rPr>
          <w:rFonts w:ascii="Arial" w:cs="Arial" w:eastAsia="Arial" w:hAnsi="Arial"/>
          <w:sz w:val="22"/>
          <w:szCs w:val="22"/>
        </w:rPr>
        <w:t xml:space="preserve">Patient triaged to async — receives confirmation with expected review window.</w:t>
      </w:r>
    </w:p>
    <w:p>
      <w:pPr>
        <w:pStyle w:val="ListParagraph"/>
        <w:numPr>
          <w:ilvl w:val="0"/>
          <w:numId w:val="3"/>
        </w:numPr>
        <w:spacing w:after="80"/>
      </w:pPr>
      <w:r>
        <w:rPr>
          <w:rFonts w:ascii="Arial" w:cs="Arial" w:eastAsia="Arial" w:hAnsi="Arial"/>
          <w:sz w:val="22"/>
          <w:szCs w:val="22"/>
        </w:rPr>
        <w:t xml:space="preserve">Patient records symptom video (guided by in-app prompts).</w:t>
      </w:r>
    </w:p>
    <w:p>
      <w:pPr>
        <w:pStyle w:val="ListParagraph"/>
        <w:numPr>
          <w:ilvl w:val="0"/>
          <w:numId w:val="3"/>
        </w:numPr>
        <w:spacing w:after="80"/>
      </w:pPr>
      <w:r>
        <w:rPr>
          <w:rFonts w:ascii="Arial" w:cs="Arial" w:eastAsia="Arial" w:hAnsi="Arial"/>
          <w:sz w:val="22"/>
          <w:szCs w:val="22"/>
        </w:rPr>
        <w:t xml:space="preserve">Video submitted with intake questionnaire data attached.</w:t>
      </w:r>
    </w:p>
    <w:p>
      <w:pPr>
        <w:pStyle w:val="ListParagraph"/>
        <w:numPr>
          <w:ilvl w:val="0"/>
          <w:numId w:val="3"/>
        </w:numPr>
        <w:spacing w:after="80"/>
      </w:pPr>
      <w:r>
        <w:rPr>
          <w:rFonts w:ascii="Arial" w:cs="Arial" w:eastAsia="Arial" w:hAnsi="Arial"/>
          <w:sz w:val="22"/>
          <w:szCs w:val="22"/>
        </w:rPr>
        <w:t xml:space="preserve">AI engine processes submission — applies automatic annotation draft.</w:t>
      </w:r>
    </w:p>
    <w:p>
      <w:pPr>
        <w:pStyle w:val="ListParagraph"/>
        <w:numPr>
          <w:ilvl w:val="0"/>
          <w:numId w:val="3"/>
        </w:numPr>
        <w:spacing w:after="80"/>
      </w:pPr>
      <w:r>
        <w:rPr>
          <w:rFonts w:ascii="Arial" w:cs="Arial" w:eastAsia="Arial" w:hAnsi="Arial"/>
          <w:sz w:val="22"/>
          <w:szCs w:val="22"/>
        </w:rPr>
        <w:t xml:space="preserve">Case enters physician review queue with urgency label and annotation draft visible.</w:t>
      </w:r>
    </w:p>
    <w:p>
      <w:pPr>
        <w:pStyle w:val="ListParagraph"/>
        <w:numPr>
          <w:ilvl w:val="0"/>
          <w:numId w:val="3"/>
        </w:numPr>
        <w:spacing w:after="80"/>
      </w:pPr>
      <w:r>
        <w:rPr>
          <w:rFonts w:ascii="Arial" w:cs="Arial" w:eastAsia="Arial" w:hAnsi="Arial"/>
          <w:sz w:val="22"/>
          <w:szCs w:val="22"/>
        </w:rPr>
        <w:t xml:space="preserve">Physician reviews video, confirms or amends annotation, and composes guidance response.</w:t>
      </w:r>
    </w:p>
    <w:p>
      <w:pPr>
        <w:pStyle w:val="ListParagraph"/>
        <w:numPr>
          <w:ilvl w:val="0"/>
          <w:numId w:val="3"/>
        </w:numPr>
        <w:spacing w:after="80"/>
      </w:pPr>
      <w:r>
        <w:rPr>
          <w:rFonts w:ascii="Arial" w:cs="Arial" w:eastAsia="Arial" w:hAnsi="Arial"/>
          <w:sz w:val="22"/>
          <w:szCs w:val="22"/>
        </w:rPr>
        <w:t xml:space="preserve">Pre-response check-in sent to patient: 'Please confirm your current status.'</w:t>
      </w:r>
    </w:p>
    <w:p>
      <w:pPr>
        <w:pStyle w:val="ListParagraph"/>
        <w:numPr>
          <w:ilvl w:val="0"/>
          <w:numId w:val="3"/>
        </w:numPr>
        <w:spacing w:after="80"/>
      </w:pPr>
      <w:r>
        <w:rPr>
          <w:rFonts w:ascii="Arial" w:cs="Arial" w:eastAsia="Arial" w:hAnsi="Arial"/>
          <w:sz w:val="22"/>
          <w:szCs w:val="22"/>
        </w:rPr>
        <w:t xml:space="preserve">If patient confirms unchanged status → guidance response delivered.</w:t>
      </w:r>
    </w:p>
    <w:p>
      <w:pPr>
        <w:pStyle w:val="ListParagraph"/>
        <w:numPr>
          <w:ilvl w:val="0"/>
          <w:numId w:val="3"/>
        </w:numPr>
        <w:spacing w:after="80"/>
      </w:pPr>
      <w:r>
        <w:rPr>
          <w:rFonts w:ascii="Arial" w:cs="Arial" w:eastAsia="Arial" w:hAnsi="Arial"/>
          <w:sz w:val="22"/>
          <w:szCs w:val="22"/>
        </w:rPr>
        <w:t xml:space="preserve">If patient reports worsening or does not respond within window → case escalated to live queue or emergency routing.</w:t>
      </w:r>
    </w:p>
    <w:p>
      <w:pPr>
        <w:spacing w:after="80"/>
      </w:pPr>
    </w:p>
    <w:p>
      <w:pPr>
        <w:pStyle w:val="Heading3"/>
      </w:pPr>
      <w:r>
        <w:rPr>
          <w:rFonts w:ascii="Arial" w:cs="Arial" w:eastAsia="Arial" w:hAnsi="Arial"/>
          <w:b/>
          <w:bCs/>
          <w:color w:val="595959"/>
          <w:sz w:val="24"/>
          <w:szCs w:val="24"/>
        </w:rPr>
        <w:t xml:space="preserve">5.4.2 Submission Constraints</w:t>
      </w:r>
    </w:p>
    <w:p>
      <w:pPr>
        <w:pStyle w:val="ListParagraph"/>
        <w:numPr>
          <w:ilvl w:val="0"/>
          <w:numId w:val="2"/>
        </w:numPr>
        <w:spacing w:after="80"/>
      </w:pPr>
      <w:r>
        <w:rPr>
          <w:rFonts w:ascii="Arial" w:cs="Arial" w:eastAsia="Arial" w:hAnsi="Arial"/>
          <w:sz w:val="22"/>
          <w:szCs w:val="22"/>
        </w:rPr>
        <w:t xml:space="preserve">Maximum video duration: [TBD] — likely 2 to 5 minutes</w:t>
      </w:r>
    </w:p>
    <w:p>
      <w:pPr>
        <w:pStyle w:val="ListParagraph"/>
        <w:numPr>
          <w:ilvl w:val="0"/>
          <w:numId w:val="2"/>
        </w:numPr>
        <w:spacing w:after="80"/>
      </w:pPr>
      <w:r>
        <w:rPr>
          <w:rFonts w:ascii="Arial" w:cs="Arial" w:eastAsia="Arial" w:hAnsi="Arial"/>
          <w:sz w:val="22"/>
          <w:szCs w:val="22"/>
        </w:rPr>
        <w:t xml:space="preserve">Maximum file size: [TBD] — compression applied on-device before upload</w:t>
      </w:r>
    </w:p>
    <w:p>
      <w:pPr>
        <w:pStyle w:val="ListParagraph"/>
        <w:numPr>
          <w:ilvl w:val="0"/>
          <w:numId w:val="2"/>
        </w:numPr>
        <w:spacing w:after="80"/>
      </w:pPr>
      <w:r>
        <w:rPr>
          <w:rFonts w:ascii="Arial" w:cs="Arial" w:eastAsia="Arial" w:hAnsi="Arial"/>
          <w:sz w:val="22"/>
          <w:szCs w:val="22"/>
        </w:rPr>
        <w:t xml:space="preserve">Accepted formats: [TBD] — MP4 required; additional formats TBD</w:t>
      </w:r>
    </w:p>
    <w:p>
      <w:pPr>
        <w:pStyle w:val="ListParagraph"/>
        <w:numPr>
          <w:ilvl w:val="0"/>
          <w:numId w:val="2"/>
        </w:numPr>
        <w:spacing w:after="80"/>
      </w:pPr>
      <w:r>
        <w:rPr>
          <w:rFonts w:ascii="Arial" w:cs="Arial" w:eastAsia="Arial" w:hAnsi="Arial"/>
          <w:sz w:val="22"/>
          <w:szCs w:val="22"/>
        </w:rPr>
        <w:t xml:space="preserve">Submission expiry window: 6–12 hours (configurable by clinical operations team)</w:t>
      </w:r>
    </w:p>
    <w:p>
      <w:pPr>
        <w:pStyle w:val="ListParagraph"/>
        <w:numPr>
          <w:ilvl w:val="0"/>
          <w:numId w:val="2"/>
        </w:numPr>
        <w:spacing w:after="80"/>
      </w:pPr>
      <w:r>
        <w:rPr>
          <w:rFonts w:ascii="Arial" w:cs="Arial" w:eastAsia="Arial" w:hAnsi="Arial"/>
          <w:sz w:val="22"/>
          <w:szCs w:val="22"/>
        </w:rPr>
        <w:t xml:space="preserve">Audio-only async submission allowed as fallback for patients unable to record video</w:t>
      </w:r>
    </w:p>
    <w:p>
      <w:pPr>
        <w:spacing w:after="80"/>
      </w:pPr>
    </w:p>
    <w:p>
      <w:pPr>
        <w:pStyle w:val="Heading3"/>
      </w:pPr>
      <w:r>
        <w:rPr>
          <w:rFonts w:ascii="Arial" w:cs="Arial" w:eastAsia="Arial" w:hAnsi="Arial"/>
          <w:b/>
          <w:bCs/>
          <w:color w:val="595959"/>
          <w:sz w:val="24"/>
          <w:szCs w:val="24"/>
        </w:rPr>
        <w:t xml:space="preserve">5.4.3 AI Annotation (Async)</w:t>
      </w:r>
    </w:p>
    <w:p>
      <w:pPr>
        <w:pStyle w:val="ListParagraph"/>
        <w:numPr>
          <w:ilvl w:val="0"/>
          <w:numId w:val="2"/>
        </w:numPr>
        <w:spacing w:after="80"/>
      </w:pPr>
      <w:r>
        <w:rPr>
          <w:rFonts w:ascii="Arial" w:cs="Arial" w:eastAsia="Arial" w:hAnsi="Arial"/>
          <w:sz w:val="22"/>
          <w:szCs w:val="22"/>
        </w:rPr>
        <w:t xml:space="preserve">AI pre-processes submission and generates a draft annotation of the body map region indicated at intake</w:t>
      </w:r>
    </w:p>
    <w:p>
      <w:pPr>
        <w:pStyle w:val="ListParagraph"/>
        <w:numPr>
          <w:ilvl w:val="0"/>
          <w:numId w:val="2"/>
        </w:numPr>
        <w:spacing w:after="80"/>
      </w:pPr>
      <w:r>
        <w:rPr>
          <w:rFonts w:ascii="Arial" w:cs="Arial" w:eastAsia="Arial" w:hAnsi="Arial"/>
          <w:sz w:val="22"/>
          <w:szCs w:val="22"/>
        </w:rPr>
        <w:t xml:space="preserve">AI may flag potential urgency escalation if video content patterns suggest higher acuity than intake score</w:t>
      </w:r>
    </w:p>
    <w:p>
      <w:pPr>
        <w:pStyle w:val="ListParagraph"/>
        <w:numPr>
          <w:ilvl w:val="0"/>
          <w:numId w:val="2"/>
        </w:numPr>
        <w:spacing w:after="80"/>
      </w:pPr>
      <w:r>
        <w:rPr>
          <w:rFonts w:ascii="Arial" w:cs="Arial" w:eastAsia="Arial" w:hAnsi="Arial"/>
          <w:sz w:val="22"/>
          <w:szCs w:val="22"/>
        </w:rPr>
        <w:t xml:space="preserve">All AI outputs are labeled as drafts — physician must actively confirm, modify, or reject each element</w:t>
      </w:r>
    </w:p>
    <w:p>
      <w:pPr>
        <w:spacing w:after="120"/>
      </w:pPr>
      <w:r>
        <w:rPr>
          <w:rFonts w:ascii="Arial" w:cs="Arial" w:eastAsia="Arial" w:hAnsi="Arial"/>
          <w:b/>
          <w:bCs/>
          <w:color w:val="BF8F00"/>
          <w:sz w:val="20"/>
          <w:szCs w:val="20"/>
        </w:rPr>
        <w:t xml:space="preserve">Note: </w:t>
      </w:r>
      <w:r>
        <w:rPr>
          <w:rFonts w:ascii="Arial" w:cs="Arial" w:eastAsia="Arial" w:hAnsi="Arial"/>
          <w:color w:val="595959"/>
          <w:sz w:val="20"/>
          <w:szCs w:val="20"/>
        </w:rPr>
        <w:t xml:space="preserve">AI must never generate condition names or diagnostic language in annotations. Outputs are urgency signals and anatomical context only.</w:t>
      </w:r>
    </w:p>
    <w:p>
      <w:pPr>
        <w:spacing w:after="80"/>
      </w:pPr>
    </w:p>
    <w:p>
      <w:pPr>
        <w:pStyle w:val="Heading2"/>
      </w:pPr>
      <w:r>
        <w:rPr>
          <w:rFonts w:ascii="Arial" w:cs="Arial" w:eastAsia="Arial" w:hAnsi="Arial"/>
          <w:b/>
          <w:bCs/>
          <w:color w:val="1F4E79"/>
          <w:sz w:val="26"/>
          <w:szCs w:val="26"/>
        </w:rPr>
        <w:t xml:space="preserve">5.5 Translation Layer</w:t>
      </w:r>
    </w:p>
    <w:p>
      <w:pPr>
        <w:spacing w:after="120"/>
      </w:pPr>
      <w:r>
        <w:rPr>
          <w:rFonts w:ascii="Arial" w:cs="Arial" w:eastAsia="Arial" w:hAnsi="Arial"/>
          <w:b w:val="false"/>
          <w:bCs w:val="false"/>
          <w:color w:val="000000"/>
          <w:sz w:val="22"/>
          <w:szCs w:val="22"/>
        </w:rPr>
        <w:t xml:space="preserve">Live translation is active across all three modalities and all text interfaces including intake forms, guidance responses, and system notifications.</w:t>
      </w:r>
    </w:p>
    <w:p>
      <w:pPr>
        <w:spacing w:after="80"/>
      </w:pPr>
    </w:p>
    <w:p>
      <w:pPr>
        <w:pStyle w:val="Heading3"/>
      </w:pPr>
      <w:r>
        <w:rPr>
          <w:rFonts w:ascii="Arial" w:cs="Arial" w:eastAsia="Arial" w:hAnsi="Arial"/>
          <w:b/>
          <w:bCs/>
          <w:color w:val="595959"/>
          <w:sz w:val="24"/>
          <w:szCs w:val="24"/>
        </w:rPr>
        <w:t xml:space="preserve">5.5.1 Translation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Text-to-text (UI, forms, guidance notes)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modalities</w:t>
            </w:r>
          </w:p>
        </w:tc>
        <w:tc>
          <w:tcPr>
            <w:tcW w:type="dxa" w:w="3560"/>
            <w:tcBorders>
              <w:top w:val="single" w:color="CCCCCC" w:sz="1"/>
              <w:left w:val="single" w:color="CCCCCC" w:sz="1"/>
              <w:bottom w:val="single" w:color="CCCCCC" w:sz="1"/>
              <w:right w:val="single" w:color="CCCCCC" w:sz="1"/>
            </w:tcBorders>
            <w:shd w:fill="D9F0EB" w:val="clear"/>
            <w:tcMar>
              <w:top w:type="dxa" w:w="80"/>
              <w:left w:type="dxa" w:w="120"/>
              <w:bottom w:type="dxa" w:w="80"/>
              <w:right w:type="dxa" w:w="120"/>
            </w:tcMar>
          </w:tcPr>
          <w:p>
            <w:r>
              <w:rPr>
                <w:rFonts w:ascii="Arial" w:cs="Arial" w:eastAsia="Arial" w:hAnsi="Arial"/>
                <w:color w:val="0F6E56"/>
                <w:sz w:val="20"/>
                <w:szCs w:val="20"/>
              </w:rPr>
              <w:t xml:space="preserve">In scope — vendor TBD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Speech-to-text + translation (live captions)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Live Video, Audio Call</w:t>
            </w:r>
          </w:p>
        </w:tc>
        <w:tc>
          <w:tcPr>
            <w:tcW w:type="dxa" w:w="3560"/>
            <w:tcBorders>
              <w:top w:val="single" w:color="CCCCCC" w:sz="1"/>
              <w:left w:val="single" w:color="CCCCCC" w:sz="1"/>
              <w:bottom w:val="single" w:color="CCCCCC" w:sz="1"/>
              <w:right w:val="single" w:color="CCCCCC" w:sz="1"/>
            </w:tcBorders>
            <w:shd w:fill="D9F0EB" w:val="clear"/>
            <w:tcMar>
              <w:top w:type="dxa" w:w="80"/>
              <w:left w:type="dxa" w:w="120"/>
              <w:bottom w:type="dxa" w:w="80"/>
              <w:right w:type="dxa" w:w="120"/>
            </w:tcMar>
          </w:tcPr>
          <w:p>
            <w:r>
              <w:rPr>
                <w:rFonts w:ascii="Arial" w:cs="Arial" w:eastAsia="Arial" w:hAnsi="Arial"/>
                <w:color w:val="0F6E56"/>
                <w:sz w:val="20"/>
                <w:szCs w:val="20"/>
              </w:rPr>
              <w:t xml:space="preserve">In scope — vendor TBD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Speech-to-speech (real-time voice translation)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Audio Call</w:t>
            </w:r>
          </w:p>
        </w:tc>
        <w:tc>
          <w:tcPr>
            <w:tcW w:type="dxa" w:w="3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Async transcript translation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Async Video</w:t>
            </w:r>
          </w:p>
        </w:tc>
        <w:tc>
          <w:tcPr>
            <w:tcW w:type="dxa" w:w="3560"/>
            <w:tcBorders>
              <w:top w:val="single" w:color="CCCCCC" w:sz="1"/>
              <w:left w:val="single" w:color="CCCCCC" w:sz="1"/>
              <w:bottom w:val="single" w:color="CCCCCC" w:sz="1"/>
              <w:right w:val="single" w:color="CCCCCC" w:sz="1"/>
            </w:tcBorders>
            <w:shd w:fill="D9F0EB" w:val="clear"/>
            <w:tcMar>
              <w:top w:type="dxa" w:w="80"/>
              <w:left w:type="dxa" w:w="120"/>
              <w:bottom w:type="dxa" w:w="80"/>
              <w:right w:type="dxa" w:w="120"/>
            </w:tcMar>
          </w:tcPr>
          <w:p>
            <w:r>
              <w:rPr>
                <w:rFonts w:ascii="Arial" w:cs="Arial" w:eastAsia="Arial" w:hAnsi="Arial"/>
                <w:color w:val="0F6E56"/>
                <w:sz w:val="20"/>
                <w:szCs w:val="20"/>
              </w:rPr>
              <w:t xml:space="preserve">In scope — applied post-submission</w:t>
            </w:r>
          </w:p>
        </w:tc>
      </w:tr>
    </w:tbl>
    <w:p>
      <w:pPr>
        <w:spacing w:after="80"/>
      </w:pPr>
    </w:p>
    <w:p>
      <w:pPr>
        <w:pStyle w:val="Heading3"/>
      </w:pPr>
      <w:r>
        <w:rPr>
          <w:rFonts w:ascii="Arial" w:cs="Arial" w:eastAsia="Arial" w:hAnsi="Arial"/>
          <w:b/>
          <w:bCs/>
          <w:color w:val="595959"/>
          <w:sz w:val="24"/>
          <w:szCs w:val="24"/>
        </w:rPr>
        <w:t xml:space="preserve">5.5.2 Medical Translation Constraints</w:t>
      </w:r>
    </w:p>
    <w:p>
      <w:pPr>
        <w:pStyle w:val="ListParagraph"/>
        <w:numPr>
          <w:ilvl w:val="0"/>
          <w:numId w:val="2"/>
        </w:numPr>
        <w:spacing w:after="80"/>
      </w:pPr>
      <w:r>
        <w:rPr>
          <w:rFonts w:ascii="Arial" w:cs="Arial" w:eastAsia="Arial" w:hAnsi="Arial"/>
          <w:sz w:val="22"/>
          <w:szCs w:val="22"/>
        </w:rPr>
        <w:t xml:space="preserve">General-purpose translation models must be supplemented with a medical terminology glossary layer</w:t>
      </w:r>
    </w:p>
    <w:p>
      <w:pPr>
        <w:pStyle w:val="ListParagraph"/>
        <w:numPr>
          <w:ilvl w:val="0"/>
          <w:numId w:val="2"/>
        </w:numPr>
        <w:spacing w:after="80"/>
      </w:pPr>
      <w:r>
        <w:rPr>
          <w:rFonts w:ascii="Arial" w:cs="Arial" w:eastAsia="Arial" w:hAnsi="Arial"/>
          <w:sz w:val="22"/>
          <w:szCs w:val="22"/>
        </w:rPr>
        <w:t xml:space="preserve">Physician must be able to flag a translation as suspect during live session or async review</w:t>
      </w:r>
    </w:p>
    <w:p>
      <w:pPr>
        <w:pStyle w:val="ListParagraph"/>
        <w:numPr>
          <w:ilvl w:val="0"/>
          <w:numId w:val="2"/>
        </w:numPr>
        <w:spacing w:after="80"/>
      </w:pPr>
      <w:r>
        <w:rPr>
          <w:rFonts w:ascii="Arial" w:cs="Arial" w:eastAsia="Arial" w:hAnsi="Arial"/>
          <w:sz w:val="22"/>
          <w:szCs w:val="22"/>
        </w:rPr>
        <w:t xml:space="preserve">High-risk language pairs (low-resource languages with limited training data) may be restricted to live modality with human interpreter backup</w:t>
      </w:r>
    </w:p>
    <w:p>
      <w:pPr>
        <w:spacing w:after="120"/>
      </w:pPr>
      <w:r>
        <w:rPr>
          <w:rFonts w:ascii="Arial" w:cs="Arial" w:eastAsia="Arial" w:hAnsi="Arial"/>
          <w:b/>
          <w:bCs/>
          <w:color w:val="C00000"/>
          <w:sz w:val="22"/>
          <w:szCs w:val="22"/>
        </w:rPr>
        <w:t xml:space="preserve">[TBD] </w:t>
      </w:r>
      <w:r>
        <w:rPr>
          <w:rFonts w:ascii="Arial" w:cs="Arial" w:eastAsia="Arial" w:hAnsi="Arial"/>
          <w:color w:val="595959"/>
          <w:sz w:val="22"/>
          <w:szCs w:val="22"/>
        </w:rPr>
        <w:t xml:space="preserve">Translation vendor selection and medical terminology glossary development timeline pending clinical advisory review.</w:t>
      </w:r>
    </w:p>
    <w:p>
      <w:pPr>
        <w:spacing w:after="120"/>
      </w:pPr>
      <w:r>
        <w:rPr>
          <w:rFonts w:ascii="Arial" w:cs="Arial" w:eastAsia="Arial" w:hAnsi="Arial"/>
          <w:b/>
          <w:bCs/>
          <w:color w:val="C00000"/>
          <w:sz w:val="22"/>
          <w:szCs w:val="22"/>
        </w:rPr>
        <w:t xml:space="preserve">[TBD] </w:t>
      </w:r>
      <w:r>
        <w:rPr>
          <w:rFonts w:ascii="Arial" w:cs="Arial" w:eastAsia="Arial" w:hAnsi="Arial"/>
          <w:color w:val="595959"/>
          <w:sz w:val="22"/>
          <w:szCs w:val="22"/>
        </w:rPr>
        <w:t xml:space="preserve">List of supported launch languages and high-risk language pair restrictions to be defined by clinical and legal teams.</w:t>
      </w:r>
    </w:p>
    <w:p>
      <w:pPr>
        <w:spacing w:after="80"/>
      </w:pPr>
    </w:p>
    <w:p>
      <w:pPr>
        <w:pStyle w:val="Heading2"/>
      </w:pPr>
      <w:r>
        <w:rPr>
          <w:rFonts w:ascii="Arial" w:cs="Arial" w:eastAsia="Arial" w:hAnsi="Arial"/>
          <w:b/>
          <w:bCs/>
          <w:color w:val="1F4E79"/>
          <w:sz w:val="26"/>
          <w:szCs w:val="26"/>
        </w:rPr>
        <w:t xml:space="preserve">5.6 Physician Dashboard &amp; Queue Interface</w:t>
      </w:r>
    </w:p>
    <w:p>
      <w:pPr>
        <w:pStyle w:val="Heading3"/>
      </w:pPr>
      <w:r>
        <w:rPr>
          <w:rFonts w:ascii="Arial" w:cs="Arial" w:eastAsia="Arial" w:hAnsi="Arial"/>
          <w:b/>
          <w:bCs/>
          <w:color w:val="595959"/>
          <w:sz w:val="24"/>
          <w:szCs w:val="24"/>
        </w:rPr>
        <w:t xml:space="preserve">5.6.1 Dashboard Views</w:t>
      </w:r>
    </w:p>
    <w:p>
      <w:pPr>
        <w:pStyle w:val="ListParagraph"/>
        <w:numPr>
          <w:ilvl w:val="0"/>
          <w:numId w:val="2"/>
        </w:numPr>
        <w:spacing w:after="80"/>
      </w:pPr>
      <w:r>
        <w:rPr>
          <w:rFonts w:ascii="Arial" w:cs="Arial" w:eastAsia="Arial" w:hAnsi="Arial"/>
          <w:sz w:val="22"/>
          <w:szCs w:val="22"/>
        </w:rPr>
        <w:t xml:space="preserve">Active queue — patients waiting, sorted by urgency and wait time, filtered by physician's licensed jurisdictions</w:t>
      </w:r>
    </w:p>
    <w:p>
      <w:pPr>
        <w:pStyle w:val="ListParagraph"/>
        <w:numPr>
          <w:ilvl w:val="0"/>
          <w:numId w:val="2"/>
        </w:numPr>
        <w:spacing w:after="80"/>
      </w:pPr>
      <w:r>
        <w:rPr>
          <w:rFonts w:ascii="Arial" w:cs="Arial" w:eastAsia="Arial" w:hAnsi="Arial"/>
          <w:sz w:val="22"/>
          <w:szCs w:val="22"/>
        </w:rPr>
        <w:t xml:space="preserve">Async review queue — pending submissions sorted by urgency and submission age</w:t>
      </w:r>
    </w:p>
    <w:p>
      <w:pPr>
        <w:pStyle w:val="ListParagraph"/>
        <w:numPr>
          <w:ilvl w:val="0"/>
          <w:numId w:val="2"/>
        </w:numPr>
        <w:spacing w:after="80"/>
      </w:pPr>
      <w:r>
        <w:rPr>
          <w:rFonts w:ascii="Arial" w:cs="Arial" w:eastAsia="Arial" w:hAnsi="Arial"/>
          <w:sz w:val="22"/>
          <w:szCs w:val="22"/>
        </w:rPr>
        <w:t xml:space="preserve">Completed cases — searchable history of closed consultations</w:t>
      </w:r>
    </w:p>
    <w:p>
      <w:pPr>
        <w:pStyle w:val="ListParagraph"/>
        <w:numPr>
          <w:ilvl w:val="0"/>
          <w:numId w:val="2"/>
        </w:numPr>
        <w:spacing w:after="80"/>
      </w:pPr>
      <w:r>
        <w:rPr>
          <w:rFonts w:ascii="Arial" w:cs="Arial" w:eastAsia="Arial" w:hAnsi="Arial"/>
          <w:sz w:val="22"/>
          <w:szCs w:val="22"/>
        </w:rPr>
        <w:t xml:space="preserve">SLA monitor — real-time view of submissions approaching or exceeding response window</w:t>
      </w:r>
    </w:p>
    <w:p>
      <w:pPr>
        <w:spacing w:after="120"/>
      </w:pPr>
      <w:r>
        <w:rPr>
          <w:rFonts w:ascii="Arial" w:cs="Arial" w:eastAsia="Arial" w:hAnsi="Arial"/>
          <w:b/>
          <w:bCs/>
          <w:color w:val="C00000"/>
          <w:sz w:val="22"/>
          <w:szCs w:val="22"/>
        </w:rPr>
        <w:t xml:space="preserve">[TBD] </w:t>
      </w:r>
      <w:r>
        <w:rPr>
          <w:rFonts w:ascii="Arial" w:cs="Arial" w:eastAsia="Arial" w:hAnsi="Arial"/>
          <w:color w:val="595959"/>
          <w:sz w:val="22"/>
          <w:szCs w:val="22"/>
        </w:rPr>
        <w:t xml:space="preserve">Audio call queue — whether this is separate from video queue or merged, pending product decision.</w:t>
      </w:r>
    </w:p>
    <w:p>
      <w:pPr>
        <w:spacing w:after="80"/>
      </w:pPr>
    </w:p>
    <w:p>
      <w:pPr>
        <w:pStyle w:val="Heading3"/>
      </w:pPr>
      <w:r>
        <w:rPr>
          <w:rFonts w:ascii="Arial" w:cs="Arial" w:eastAsia="Arial" w:hAnsi="Arial"/>
          <w:b/>
          <w:bCs/>
          <w:color w:val="595959"/>
          <w:sz w:val="24"/>
          <w:szCs w:val="24"/>
        </w:rPr>
        <w:t xml:space="preserve">5.6.2 Case View</w:t>
      </w:r>
    </w:p>
    <w:p>
      <w:pPr>
        <w:pStyle w:val="ListParagraph"/>
        <w:numPr>
          <w:ilvl w:val="0"/>
          <w:numId w:val="2"/>
        </w:numPr>
        <w:spacing w:after="80"/>
      </w:pPr>
      <w:r>
        <w:rPr>
          <w:rFonts w:ascii="Arial" w:cs="Arial" w:eastAsia="Arial" w:hAnsi="Arial"/>
          <w:sz w:val="22"/>
          <w:szCs w:val="22"/>
        </w:rPr>
        <w:t xml:space="preserve">Patient intake data (body map, symptoms, history)</w:t>
      </w:r>
    </w:p>
    <w:p>
      <w:pPr>
        <w:pStyle w:val="ListParagraph"/>
        <w:numPr>
          <w:ilvl w:val="0"/>
          <w:numId w:val="2"/>
        </w:numPr>
        <w:spacing w:after="80"/>
      </w:pPr>
      <w:r>
        <w:rPr>
          <w:rFonts w:ascii="Arial" w:cs="Arial" w:eastAsia="Arial" w:hAnsi="Arial"/>
          <w:sz w:val="22"/>
          <w:szCs w:val="22"/>
        </w:rPr>
        <w:t xml:space="preserve">AI triage score and routing rationale</w:t>
      </w:r>
    </w:p>
    <w:p>
      <w:pPr>
        <w:pStyle w:val="ListParagraph"/>
        <w:numPr>
          <w:ilvl w:val="0"/>
          <w:numId w:val="2"/>
        </w:numPr>
        <w:spacing w:after="80"/>
      </w:pPr>
      <w:r>
        <w:rPr>
          <w:rFonts w:ascii="Arial" w:cs="Arial" w:eastAsia="Arial" w:hAnsi="Arial"/>
          <w:sz w:val="22"/>
          <w:szCs w:val="22"/>
        </w:rPr>
        <w:t xml:space="preserve">AI annotation draft (async) or live annotation tools (live/audio)</w:t>
      </w:r>
    </w:p>
    <w:p>
      <w:pPr>
        <w:pStyle w:val="ListParagraph"/>
        <w:numPr>
          <w:ilvl w:val="0"/>
          <w:numId w:val="2"/>
        </w:numPr>
        <w:spacing w:after="80"/>
      </w:pPr>
      <w:r>
        <w:rPr>
          <w:rFonts w:ascii="Arial" w:cs="Arial" w:eastAsia="Arial" w:hAnsi="Arial"/>
          <w:sz w:val="22"/>
          <w:szCs w:val="22"/>
        </w:rPr>
        <w:t xml:space="preserve">Translation status and language pair</w:t>
      </w:r>
    </w:p>
    <w:p>
      <w:pPr>
        <w:pStyle w:val="ListParagraph"/>
        <w:numPr>
          <w:ilvl w:val="0"/>
          <w:numId w:val="2"/>
        </w:numPr>
        <w:spacing w:after="80"/>
      </w:pPr>
      <w:r>
        <w:rPr>
          <w:rFonts w:ascii="Arial" w:cs="Arial" w:eastAsia="Arial" w:hAnsi="Arial"/>
          <w:sz w:val="22"/>
          <w:szCs w:val="22"/>
        </w:rPr>
        <w:t xml:space="preserve">Submission timestamp and expiry countdown (async)</w:t>
      </w:r>
    </w:p>
    <w:p>
      <w:pPr>
        <w:pStyle w:val="ListParagraph"/>
        <w:numPr>
          <w:ilvl w:val="0"/>
          <w:numId w:val="2"/>
        </w:numPr>
        <w:spacing w:after="80"/>
      </w:pPr>
      <w:r>
        <w:rPr>
          <w:rFonts w:ascii="Arial" w:cs="Arial" w:eastAsia="Arial" w:hAnsi="Arial"/>
          <w:sz w:val="22"/>
          <w:szCs w:val="22"/>
        </w:rPr>
        <w:t xml:space="preserve">Response composer with disposition template library</w:t>
      </w:r>
    </w:p>
    <w:p>
      <w:pPr>
        <w:spacing w:after="120"/>
      </w:pPr>
      <w:r>
        <w:rPr>
          <w:rFonts w:ascii="Arial" w:cs="Arial" w:eastAsia="Arial" w:hAnsi="Arial"/>
          <w:b/>
          <w:bCs/>
          <w:color w:val="C00000"/>
          <w:sz w:val="22"/>
          <w:szCs w:val="22"/>
        </w:rPr>
        <w:t xml:space="preserve">[TBD] </w:t>
      </w:r>
      <w:r>
        <w:rPr>
          <w:rFonts w:ascii="Arial" w:cs="Arial" w:eastAsia="Arial" w:hAnsi="Arial"/>
          <w:color w:val="595959"/>
          <w:sz w:val="22"/>
          <w:szCs w:val="22"/>
        </w:rPr>
        <w:t xml:space="preserve">Response template library content to be developed by CMO and clinical advisory board.</w:t>
      </w:r>
    </w:p>
    <w:p>
      <w:pPr>
        <w:spacing w:after="80"/>
      </w:pPr>
    </w:p>
    <w:p>
      <w:r>
        <w:br w:type="page"/>
      </w:r>
    </w:p>
    <w:p>
      <w:pPr>
        <w:pStyle w:val="Heading1"/>
      </w:pPr>
      <w:r>
        <w:rPr>
          <w:rFonts w:ascii="Arial" w:cs="Arial" w:eastAsia="Arial" w:hAnsi="Arial"/>
          <w:b/>
          <w:bCs/>
          <w:color w:val="1F4E79"/>
          <w:sz w:val="32"/>
          <w:szCs w:val="32"/>
        </w:rPr>
        <w:t xml:space="preserve">6. Data Architecture</w:t>
      </w:r>
    </w:p>
    <w:p>
      <w:pPr>
        <w:pBdr>
          <w:bottom w:val="single" w:color="D0D0D0" w:sz="4"/>
        </w:pBdr>
        <w:spacing w:after="200"/>
      </w:pPr>
    </w:p>
    <w:p>
      <w:pPr>
        <w:pStyle w:val="Heading2"/>
      </w:pPr>
      <w:r>
        <w:rPr>
          <w:rFonts w:ascii="Arial" w:cs="Arial" w:eastAsia="Arial" w:hAnsi="Arial"/>
          <w:b/>
          <w:bCs/>
          <w:color w:val="1F4E79"/>
          <w:sz w:val="26"/>
          <w:szCs w:val="26"/>
        </w:rPr>
        <w:t xml:space="preserve">6.1 Core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Attributes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Patient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 region, language, device profile, consent flags, intake history</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PII — encrypted at rest; regional data residency enforced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Intake Record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Patient ID, timestamp, body map selection, severity, history flags</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Attached to every consultation regardless of modality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Consultation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 modality, patient ID, physician ID, triage score, status, SLA timestamps</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Core record linking all modality artifacts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Video Submission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Consultation ID, file reference, encryption key ID, expiry timestamp, status</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Async only; stored in regional bucket; auto-deleted per retention policy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Audio Session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Consultation ID, recording reference (if consented), transcript, translation</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Live audio and audio call; recording conditional on patient consent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Video Session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Consultation ID, session token, recording reference (if consented), translation transcript</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Live video only; recording conditional on patient consent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AI Annotation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Consultation ID, body map annotations, urgency signal, draft flag, physician override status</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Always labeled as draft until physician confirms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Physician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 licensed jurisdictions (array), specialty, active status, CME credits, SLA metrics</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Jurisdiction array drives routing eligibility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Guidance Response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Consultation ID, physician ID, disposition type, response text, translation, timestamp</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Patient-facing output of consultation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Consent Record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Patient ID, consent type, version, timestamp, IP, language</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Granular per consent type — video, AI, translation, research</w:t>
            </w:r>
          </w:p>
        </w:tc>
      </w:tr>
    </w:tbl>
    <w:p>
      <w:pPr>
        <w:spacing w:after="160"/>
      </w:pPr>
    </w:p>
    <w:p>
      <w:pPr>
        <w:pStyle w:val="Heading2"/>
      </w:pPr>
      <w:r>
        <w:rPr>
          <w:rFonts w:ascii="Arial" w:cs="Arial" w:eastAsia="Arial" w:hAnsi="Arial"/>
          <w:b/>
          <w:bCs/>
          <w:color w:val="1F4E79"/>
          <w:sz w:val="26"/>
          <w:szCs w:val="26"/>
        </w:rPr>
        <w:t xml:space="preserve">6.2 Data Residency Rules</w:t>
      </w:r>
    </w:p>
    <w:p>
      <w:pPr>
        <w:pStyle w:val="ListParagraph"/>
        <w:numPr>
          <w:ilvl w:val="0"/>
          <w:numId w:val="2"/>
        </w:numPr>
        <w:spacing w:after="80"/>
      </w:pPr>
      <w:r>
        <w:rPr>
          <w:rFonts w:ascii="Arial" w:cs="Arial" w:eastAsia="Arial" w:hAnsi="Arial"/>
          <w:sz w:val="22"/>
          <w:szCs w:val="22"/>
        </w:rPr>
        <w:t xml:space="preserve">All patient records, video submissions, and session recordings are stored in a regional bucket corresponding to the patient's detected or declared jurisdiction.</w:t>
      </w:r>
    </w:p>
    <w:p>
      <w:pPr>
        <w:pStyle w:val="ListParagraph"/>
        <w:numPr>
          <w:ilvl w:val="0"/>
          <w:numId w:val="2"/>
        </w:numPr>
        <w:spacing w:after="80"/>
      </w:pPr>
      <w:r>
        <w:rPr>
          <w:rFonts w:ascii="Arial" w:cs="Arial" w:eastAsia="Arial" w:hAnsi="Arial"/>
          <w:sz w:val="22"/>
          <w:szCs w:val="22"/>
        </w:rPr>
        <w:t xml:space="preserve">Cross-region data access is not permitted except for de-identified aggregate analytics.</w:t>
      </w:r>
    </w:p>
    <w:p>
      <w:pPr>
        <w:pStyle w:val="ListParagraph"/>
        <w:numPr>
          <w:ilvl w:val="0"/>
          <w:numId w:val="2"/>
        </w:numPr>
        <w:spacing w:after="80"/>
      </w:pPr>
      <w:r>
        <w:rPr>
          <w:rFonts w:ascii="Arial" w:cs="Arial" w:eastAsia="Arial" w:hAnsi="Arial"/>
          <w:sz w:val="22"/>
          <w:szCs w:val="22"/>
        </w:rPr>
        <w:t xml:space="preserve">Physician records may be stored in a centralized region with no patient data co-located.</w:t>
      </w:r>
    </w:p>
    <w:p>
      <w:pPr>
        <w:spacing w:after="120"/>
      </w:pPr>
      <w:r>
        <w:rPr>
          <w:rFonts w:ascii="Arial" w:cs="Arial" w:eastAsia="Arial" w:hAnsi="Arial"/>
          <w:b/>
          <w:bCs/>
          <w:color w:val="C00000"/>
          <w:sz w:val="22"/>
          <w:szCs w:val="22"/>
        </w:rPr>
        <w:t xml:space="preserve">[TBD] </w:t>
      </w:r>
      <w:r>
        <w:rPr>
          <w:rFonts w:ascii="Arial" w:cs="Arial" w:eastAsia="Arial" w:hAnsi="Arial"/>
          <w:color w:val="595959"/>
          <w:sz w:val="22"/>
          <w:szCs w:val="22"/>
        </w:rPr>
        <w:t xml:space="preserve">Full data residency mapping per target jurisdiction to be completed by legal and infrastructure teams prior to each market launch.</w:t>
      </w:r>
    </w:p>
    <w:p>
      <w:pPr>
        <w:spacing w:after="80"/>
      </w:pPr>
    </w:p>
    <w:p>
      <w:pPr>
        <w:pStyle w:val="Heading2"/>
      </w:pPr>
      <w:r>
        <w:rPr>
          <w:rFonts w:ascii="Arial" w:cs="Arial" w:eastAsia="Arial" w:hAnsi="Arial"/>
          <w:b/>
          <w:bCs/>
          <w:color w:val="1F4E79"/>
          <w:sz w:val="26"/>
          <w:szCs w:val="26"/>
        </w:rPr>
        <w:t xml:space="preserve">6.3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Async video submissions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90 days from submission date — deleted automatically unless patient opts into extended retention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Live video session recordings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[TBD] — conditional on consent; likely 30 days if recorded at all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Audio call recordings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[TBD] — conditional on consent; likely 30 days if recorded at all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Intake records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[TBD] — likely 12 months for continuity of care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Guidance responses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[TBD] — likely 24 months for clinical continuity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Consent records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Indefinite — required for legal audit trail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Anonymized aggregate analytics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Indefinite</w:t>
            </w:r>
          </w:p>
        </w:tc>
      </w:tr>
    </w:tbl>
    <w:p>
      <w:pPr>
        <w:spacing w:after="80"/>
      </w:pPr>
    </w:p>
    <w:p>
      <w:r>
        <w:br w:type="page"/>
      </w:r>
    </w:p>
    <w:p>
      <w:pPr>
        <w:pStyle w:val="Heading1"/>
      </w:pPr>
      <w:r>
        <w:rPr>
          <w:rFonts w:ascii="Arial" w:cs="Arial" w:eastAsia="Arial" w:hAnsi="Arial"/>
          <w:b/>
          <w:bCs/>
          <w:color w:val="1F4E79"/>
          <w:sz w:val="32"/>
          <w:szCs w:val="32"/>
        </w:rPr>
        <w:t xml:space="preserve">7. Security &amp; Compliance</w:t>
      </w:r>
    </w:p>
    <w:p>
      <w:pPr>
        <w:pBdr>
          <w:bottom w:val="single" w:color="D0D0D0" w:sz="4"/>
        </w:pBdr>
        <w:spacing w:after="200"/>
      </w:pPr>
    </w:p>
    <w:p>
      <w:pPr>
        <w:pStyle w:val="Heading2"/>
      </w:pPr>
      <w:r>
        <w:rPr>
          <w:rFonts w:ascii="Arial" w:cs="Arial" w:eastAsia="Arial" w:hAnsi="Arial"/>
          <w:b/>
          <w:bCs/>
          <w:color w:val="1F4E79"/>
          <w:sz w:val="26"/>
          <w:szCs w:val="26"/>
        </w:rPr>
        <w:t xml:space="preserve">7.1 Encryption</w:t>
      </w:r>
    </w:p>
    <w:p>
      <w:pPr>
        <w:pStyle w:val="ListParagraph"/>
        <w:numPr>
          <w:ilvl w:val="0"/>
          <w:numId w:val="2"/>
        </w:numPr>
        <w:spacing w:after="80"/>
      </w:pPr>
      <w:r>
        <w:rPr>
          <w:rFonts w:ascii="Arial" w:cs="Arial" w:eastAsia="Arial" w:hAnsi="Arial"/>
          <w:sz w:val="22"/>
          <w:szCs w:val="22"/>
        </w:rPr>
        <w:t xml:space="preserve">All data in transit encrypted via TLS 1.3 or higher</w:t>
      </w:r>
    </w:p>
    <w:p>
      <w:pPr>
        <w:pStyle w:val="ListParagraph"/>
        <w:numPr>
          <w:ilvl w:val="0"/>
          <w:numId w:val="2"/>
        </w:numPr>
        <w:spacing w:after="80"/>
      </w:pPr>
      <w:r>
        <w:rPr>
          <w:rFonts w:ascii="Arial" w:cs="Arial" w:eastAsia="Arial" w:hAnsi="Arial"/>
          <w:sz w:val="22"/>
          <w:szCs w:val="22"/>
        </w:rPr>
        <w:t xml:space="preserve">All data at rest encrypted with AES-256</w:t>
      </w:r>
    </w:p>
    <w:p>
      <w:pPr>
        <w:pStyle w:val="ListParagraph"/>
        <w:numPr>
          <w:ilvl w:val="0"/>
          <w:numId w:val="2"/>
        </w:numPr>
        <w:spacing w:after="80"/>
      </w:pPr>
      <w:r>
        <w:rPr>
          <w:rFonts w:ascii="Arial" w:cs="Arial" w:eastAsia="Arial" w:hAnsi="Arial"/>
          <w:sz w:val="22"/>
          <w:szCs w:val="22"/>
        </w:rPr>
        <w:t xml:space="preserve">Per-patient encryption key isolation — breach of one record does not expose others</w:t>
      </w:r>
    </w:p>
    <w:p>
      <w:pPr>
        <w:pStyle w:val="ListParagraph"/>
        <w:numPr>
          <w:ilvl w:val="0"/>
          <w:numId w:val="2"/>
        </w:numPr>
        <w:spacing w:after="80"/>
      </w:pPr>
      <w:r>
        <w:rPr>
          <w:rFonts w:ascii="Arial" w:cs="Arial" w:eastAsia="Arial" w:hAnsi="Arial"/>
          <w:sz w:val="22"/>
          <w:szCs w:val="22"/>
        </w:rPr>
        <w:t xml:space="preserve">Encryption key management: [TBD] — AWS KMS / HashiCorp Vault / per-region key service</w:t>
      </w:r>
    </w:p>
    <w:p>
      <w:pPr>
        <w:spacing w:after="80"/>
      </w:pPr>
    </w:p>
    <w:p>
      <w:pPr>
        <w:pStyle w:val="Heading2"/>
      </w:pPr>
      <w:r>
        <w:rPr>
          <w:rFonts w:ascii="Arial" w:cs="Arial" w:eastAsia="Arial" w:hAnsi="Arial"/>
          <w:b/>
          <w:bCs/>
          <w:color w:val="1F4E79"/>
          <w:sz w:val="26"/>
          <w:szCs w:val="26"/>
        </w:rPr>
        <w:t xml:space="preserve">7.2 Authentication &amp; Access Control</w:t>
      </w:r>
    </w:p>
    <w:p>
      <w:pPr>
        <w:pStyle w:val="ListParagraph"/>
        <w:numPr>
          <w:ilvl w:val="0"/>
          <w:numId w:val="2"/>
        </w:numPr>
        <w:spacing w:after="80"/>
      </w:pPr>
      <w:r>
        <w:rPr>
          <w:rFonts w:ascii="Arial" w:cs="Arial" w:eastAsia="Arial" w:hAnsi="Arial"/>
          <w:sz w:val="22"/>
          <w:szCs w:val="22"/>
        </w:rPr>
        <w:t xml:space="preserve">Patient authentication: [TBD] — email/SMS OTP, social login, or biometric on device</w:t>
      </w:r>
    </w:p>
    <w:p>
      <w:pPr>
        <w:pStyle w:val="ListParagraph"/>
        <w:numPr>
          <w:ilvl w:val="0"/>
          <w:numId w:val="2"/>
        </w:numPr>
        <w:spacing w:after="80"/>
      </w:pPr>
      <w:r>
        <w:rPr>
          <w:rFonts w:ascii="Arial" w:cs="Arial" w:eastAsia="Arial" w:hAnsi="Arial"/>
          <w:sz w:val="22"/>
          <w:szCs w:val="22"/>
        </w:rPr>
        <w:t xml:space="preserve">Physician authentication: multi-factor authentication required; hardware key option for high-volume users</w:t>
      </w:r>
    </w:p>
    <w:p>
      <w:pPr>
        <w:pStyle w:val="ListParagraph"/>
        <w:numPr>
          <w:ilvl w:val="0"/>
          <w:numId w:val="2"/>
        </w:numPr>
        <w:spacing w:after="80"/>
      </w:pPr>
      <w:r>
        <w:rPr>
          <w:rFonts w:ascii="Arial" w:cs="Arial" w:eastAsia="Arial" w:hAnsi="Arial"/>
          <w:sz w:val="22"/>
          <w:szCs w:val="22"/>
        </w:rPr>
        <w:t xml:space="preserve">Role-based access control (RBAC) enforced at API layer</w:t>
      </w:r>
    </w:p>
    <w:p>
      <w:pPr>
        <w:pStyle w:val="ListParagraph"/>
        <w:numPr>
          <w:ilvl w:val="0"/>
          <w:numId w:val="2"/>
        </w:numPr>
        <w:spacing w:after="80"/>
      </w:pPr>
      <w:r>
        <w:rPr>
          <w:rFonts w:ascii="Arial" w:cs="Arial" w:eastAsia="Arial" w:hAnsi="Arial"/>
          <w:sz w:val="22"/>
          <w:szCs w:val="22"/>
        </w:rPr>
        <w:t xml:space="preserve">Physician dashboard only exposes cases within the physician's licensed jurisdictions</w:t>
      </w:r>
    </w:p>
    <w:p>
      <w:pPr>
        <w:pStyle w:val="ListParagraph"/>
        <w:numPr>
          <w:ilvl w:val="0"/>
          <w:numId w:val="2"/>
        </w:numPr>
        <w:spacing w:after="80"/>
      </w:pPr>
      <w:r>
        <w:rPr>
          <w:rFonts w:ascii="Arial" w:cs="Arial" w:eastAsia="Arial" w:hAnsi="Arial"/>
          <w:sz w:val="22"/>
          <w:szCs w:val="22"/>
        </w:rPr>
        <w:t xml:space="preserve">All access events logged with timestamp, user ID, and action for audit purposes</w:t>
      </w:r>
    </w:p>
    <w:p>
      <w:pPr>
        <w:spacing w:after="80"/>
      </w:pPr>
    </w:p>
    <w:p>
      <w:pPr>
        <w:pStyle w:val="Heading2"/>
      </w:pPr>
      <w:r>
        <w:rPr>
          <w:rFonts w:ascii="Arial" w:cs="Arial" w:eastAsia="Arial" w:hAnsi="Arial"/>
          <w:b/>
          <w:bCs/>
          <w:color w:val="1F4E79"/>
          <w:sz w:val="26"/>
          <w:szCs w:val="26"/>
        </w:rPr>
        <w:t xml:space="preserve">7.3 Compliance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Requirements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HIPAA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United States</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Business Associate Agreements with all vendors; minimum necessary data access; breach notification within 60 days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GDPR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European Union</w:t>
            </w:r>
          </w:p>
        </w:tc>
        <w:tc>
          <w:tcPr>
            <w:tcW w:type="dxa" w:w="4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LGPD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Brazil</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Data localization; consent requirements; national authority notification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PDPA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Thailand</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Consent for sensitive health data; cross-border transfer restrictions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[TBD]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Kenya, Rwanda, India</w:t>
            </w:r>
          </w:p>
        </w:tc>
        <w:tc>
          <w:tcPr>
            <w:tcW w:type="dxa" w:w="4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r>
    </w:tbl>
    <w:p>
      <w:pPr>
        <w:spacing w:after="160"/>
      </w:pPr>
    </w:p>
    <w:p>
      <w:pPr>
        <w:pStyle w:val="Heading2"/>
      </w:pPr>
      <w:r>
        <w:rPr>
          <w:rFonts w:ascii="Arial" w:cs="Arial" w:eastAsia="Arial" w:hAnsi="Arial"/>
          <w:b/>
          <w:bCs/>
          <w:color w:val="1F4E79"/>
          <w:sz w:val="26"/>
          <w:szCs w:val="26"/>
        </w:rPr>
        <w:t xml:space="preserve">7.4 Consent Architecture</w:t>
      </w:r>
    </w:p>
    <w:p>
      <w:pPr>
        <w:spacing w:after="120"/>
      </w:pPr>
      <w:r>
        <w:rPr>
          <w:rFonts w:ascii="Arial" w:cs="Arial" w:eastAsia="Arial" w:hAnsi="Arial"/>
          <w:b w:val="false"/>
          <w:bCs w:val="false"/>
          <w:color w:val="000000"/>
          <w:sz w:val="22"/>
          <w:szCs w:val="22"/>
        </w:rPr>
        <w:t xml:space="preserve">Consent is collected as separate, granular records for each data use purpose. A single 'accept all' is not permitted.</w:t>
      </w:r>
    </w:p>
    <w:p>
      <w:pPr>
        <w:pStyle w:val="ListParagraph"/>
        <w:numPr>
          <w:ilvl w:val="0"/>
          <w:numId w:val="2"/>
        </w:numPr>
        <w:spacing w:after="80"/>
      </w:pPr>
      <w:r>
        <w:rPr>
          <w:rFonts w:ascii="Arial" w:cs="Arial" w:eastAsia="Arial" w:hAnsi="Arial"/>
          <w:sz w:val="22"/>
          <w:szCs w:val="22"/>
        </w:rPr>
        <w:t xml:space="preserve">Video/audio storage consent — patient explicitly agrees to session recording and retention</w:t>
      </w:r>
    </w:p>
    <w:p>
      <w:pPr>
        <w:pStyle w:val="ListParagraph"/>
        <w:numPr>
          <w:ilvl w:val="0"/>
          <w:numId w:val="2"/>
        </w:numPr>
        <w:spacing w:after="80"/>
      </w:pPr>
      <w:r>
        <w:rPr>
          <w:rFonts w:ascii="Arial" w:cs="Arial" w:eastAsia="Arial" w:hAnsi="Arial"/>
          <w:sz w:val="22"/>
          <w:szCs w:val="22"/>
        </w:rPr>
        <w:t xml:space="preserve">AI processing consent — patient agrees to AI annotation of intake and video data</w:t>
      </w:r>
    </w:p>
    <w:p>
      <w:pPr>
        <w:pStyle w:val="ListParagraph"/>
        <w:numPr>
          <w:ilvl w:val="0"/>
          <w:numId w:val="2"/>
        </w:numPr>
        <w:spacing w:after="80"/>
      </w:pPr>
      <w:r>
        <w:rPr>
          <w:rFonts w:ascii="Arial" w:cs="Arial" w:eastAsia="Arial" w:hAnsi="Arial"/>
          <w:sz w:val="22"/>
          <w:szCs w:val="22"/>
        </w:rPr>
        <w:t xml:space="preserve">Translation processing consent — patient agrees that translation service (third-party) will process their health communication</w:t>
      </w:r>
    </w:p>
    <w:p>
      <w:pPr>
        <w:pStyle w:val="ListParagraph"/>
        <w:numPr>
          <w:ilvl w:val="0"/>
          <w:numId w:val="2"/>
        </w:numPr>
        <w:spacing w:after="80"/>
      </w:pPr>
      <w:r>
        <w:rPr>
          <w:rFonts w:ascii="Arial" w:cs="Arial" w:eastAsia="Arial" w:hAnsi="Arial"/>
          <w:sz w:val="22"/>
          <w:szCs w:val="22"/>
        </w:rPr>
        <w:t xml:space="preserve">Research use consent — optional; patient agrees to anonymized data use for clinical research</w:t>
      </w:r>
    </w:p>
    <w:p>
      <w:pPr>
        <w:spacing w:after="120"/>
      </w:pPr>
      <w:r>
        <w:rPr>
          <w:rFonts w:ascii="Arial" w:cs="Arial" w:eastAsia="Arial" w:hAnsi="Arial"/>
          <w:b/>
          <w:bCs/>
          <w:color w:val="C00000"/>
          <w:sz w:val="22"/>
          <w:szCs w:val="22"/>
        </w:rPr>
        <w:t xml:space="preserve">[TBD] </w:t>
      </w:r>
      <w:r>
        <w:rPr>
          <w:rFonts w:ascii="Arial" w:cs="Arial" w:eastAsia="Arial" w:hAnsi="Arial"/>
          <w:color w:val="595959"/>
          <w:sz w:val="22"/>
          <w:szCs w:val="22"/>
        </w:rPr>
        <w:t xml:space="preserve">Consent versioning and re-consent workflow for policy updates to be designed by legal team.</w:t>
      </w:r>
    </w:p>
    <w:p>
      <w:pPr>
        <w:spacing w:after="80"/>
      </w:pPr>
    </w:p>
    <w:p>
      <w:r>
        <w:br w:type="page"/>
      </w:r>
    </w:p>
    <w:p>
      <w:pPr>
        <w:pStyle w:val="Heading1"/>
      </w:pPr>
      <w:r>
        <w:rPr>
          <w:rFonts w:ascii="Arial" w:cs="Arial" w:eastAsia="Arial" w:hAnsi="Arial"/>
          <w:b/>
          <w:bCs/>
          <w:color w:val="1F4E79"/>
          <w:sz w:val="32"/>
          <w:szCs w:val="32"/>
        </w:rPr>
        <w:t xml:space="preserve">8. Non-Functional Requirements</w:t>
      </w:r>
    </w:p>
    <w:p>
      <w:pPr>
        <w:pBdr>
          <w:bottom w:val="single" w:color="D0D0D0" w:sz="4"/>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 Notes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Performance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Live video session latency</w:t>
            </w:r>
          </w:p>
        </w:tc>
        <w:tc>
          <w:tcPr>
            <w:tcW w:type="dxa" w:w="3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Performance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Async submission upload time</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&lt; 60 seconds for 5-minute video on 3G connection; compression required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Performance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Triage engine response time</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&lt; 3 seconds from intake form submission to routing decision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Availability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Platform uptime</w:t>
            </w:r>
          </w:p>
        </w:tc>
        <w:tc>
          <w:tcPr>
            <w:tcW w:type="dxa" w:w="3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Availability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Physician queue availability</w:t>
            </w:r>
          </w:p>
        </w:tc>
        <w:tc>
          <w:tcPr>
            <w:tcW w:type="dxa" w:w="3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Scalability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Concurrent live sessions</w:t>
            </w:r>
          </w:p>
        </w:tc>
        <w:tc>
          <w:tcPr>
            <w:tcW w:type="dxa" w:w="3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Scalability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Async submission volume</w:t>
            </w:r>
          </w:p>
        </w:tc>
        <w:tc>
          <w:tcPr>
            <w:tcW w:type="dxa" w:w="3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Accessibility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WCAG compliance</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WCAG 2.1 AA minimum for all patient-facing interfaces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Device support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Minimum patient device spec</w:t>
            </w:r>
          </w:p>
        </w:tc>
        <w:tc>
          <w:tcPr>
            <w:tcW w:type="dxa" w:w="3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Bandwidth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Minimum for live video</w:t>
            </w:r>
          </w:p>
        </w:tc>
        <w:tc>
          <w:tcPr>
            <w:tcW w:type="dxa" w:w="3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Bandwidth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Minimum for audio call</w:t>
            </w:r>
          </w:p>
        </w:tc>
        <w:tc>
          <w:tcPr>
            <w:tcW w:type="dxa" w:w="3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Offline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Intake form</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Offline completion with deferred sync on connectivity restore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Localization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UI language support</w:t>
            </w:r>
          </w:p>
        </w:tc>
        <w:tc>
          <w:tcPr>
            <w:tcW w:type="dxa" w:w="3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[TBD]</w:t>
            </w:r>
          </w:p>
        </w:tc>
      </w:tr>
    </w:tbl>
    <w:p>
      <w:pPr>
        <w:spacing w:after="160"/>
      </w:pPr>
    </w:p>
    <w:p>
      <w:r>
        <w:br w:type="page"/>
      </w:r>
    </w:p>
    <w:p>
      <w:pPr>
        <w:pStyle w:val="Heading1"/>
      </w:pPr>
      <w:r>
        <w:rPr>
          <w:rFonts w:ascii="Arial" w:cs="Arial" w:eastAsia="Arial" w:hAnsi="Arial"/>
          <w:b/>
          <w:bCs/>
          <w:color w:val="1F4E79"/>
          <w:sz w:val="32"/>
          <w:szCs w:val="32"/>
        </w:rPr>
        <w:t xml:space="preserve">9. Regulatory &amp; Legal Constraints</w:t>
      </w:r>
    </w:p>
    <w:p>
      <w:pPr>
        <w:pBdr>
          <w:bottom w:val="single" w:color="D0D0D0" w:sz="4"/>
        </w:pBdr>
        <w:spacing w:after="200"/>
      </w:pPr>
    </w:p>
    <w:p>
      <w:pPr>
        <w:pStyle w:val="Heading2"/>
      </w:pPr>
      <w:r>
        <w:rPr>
          <w:rFonts w:ascii="Arial" w:cs="Arial" w:eastAsia="Arial" w:hAnsi="Arial"/>
          <w:b/>
          <w:bCs/>
          <w:color w:val="1F4E79"/>
          <w:sz w:val="26"/>
          <w:szCs w:val="26"/>
        </w:rPr>
        <w:t xml:space="preserve">9.1 Medical Licensing (Cross-Border)</w:t>
      </w:r>
    </w:p>
    <w:p>
      <w:pPr>
        <w:pStyle w:val="ListParagraph"/>
        <w:numPr>
          <w:ilvl w:val="0"/>
          <w:numId w:val="2"/>
        </w:numPr>
        <w:spacing w:after="80"/>
      </w:pPr>
      <w:r>
        <w:rPr>
          <w:rFonts w:ascii="Arial" w:cs="Arial" w:eastAsia="Arial" w:hAnsi="Arial"/>
          <w:sz w:val="22"/>
          <w:szCs w:val="22"/>
        </w:rPr>
        <w:t xml:space="preserve">Every physician must hold an active license in the patient's jurisdiction at the time of consultation.</w:t>
      </w:r>
    </w:p>
    <w:p>
      <w:pPr>
        <w:pStyle w:val="ListParagraph"/>
        <w:numPr>
          <w:ilvl w:val="0"/>
          <w:numId w:val="2"/>
        </w:numPr>
        <w:spacing w:after="80"/>
      </w:pPr>
      <w:r>
        <w:rPr>
          <w:rFonts w:ascii="Arial" w:cs="Arial" w:eastAsia="Arial" w:hAnsi="Arial"/>
          <w:sz w:val="22"/>
          <w:szCs w:val="22"/>
        </w:rPr>
        <w:t xml:space="preserve">The platform's routing engine enforces jurisdiction eligibility at the queue level — no exceptions.</w:t>
      </w:r>
    </w:p>
    <w:p>
      <w:pPr>
        <w:pStyle w:val="ListParagraph"/>
        <w:numPr>
          <w:ilvl w:val="0"/>
          <w:numId w:val="2"/>
        </w:numPr>
        <w:spacing w:after="80"/>
      </w:pPr>
      <w:r>
        <w:rPr>
          <w:rFonts w:ascii="Arial" w:cs="Arial" w:eastAsia="Arial" w:hAnsi="Arial"/>
          <w:sz w:val="22"/>
          <w:szCs w:val="22"/>
        </w:rPr>
        <w:t xml:space="preserve">The physician credentialing database must be updated in real time as license statuses change.</w:t>
      </w:r>
    </w:p>
    <w:p>
      <w:pPr>
        <w:spacing w:after="120"/>
      </w:pPr>
      <w:r>
        <w:rPr>
          <w:rFonts w:ascii="Arial" w:cs="Arial" w:eastAsia="Arial" w:hAnsi="Arial"/>
          <w:b/>
          <w:bCs/>
          <w:color w:val="C00000"/>
          <w:sz w:val="22"/>
          <w:szCs w:val="22"/>
        </w:rPr>
        <w:t xml:space="preserve">[TBD] </w:t>
      </w:r>
      <w:r>
        <w:rPr>
          <w:rFonts w:ascii="Arial" w:cs="Arial" w:eastAsia="Arial" w:hAnsi="Arial"/>
          <w:color w:val="595959"/>
          <w:sz w:val="22"/>
          <w:szCs w:val="22"/>
        </w:rPr>
        <w:t xml:space="preserve">Licensing data source and verification workflow per jurisdiction — to be defined by Legal and Compliance.</w:t>
      </w:r>
    </w:p>
    <w:p>
      <w:pPr>
        <w:spacing w:after="80"/>
      </w:pPr>
    </w:p>
    <w:p>
      <w:pPr>
        <w:pStyle w:val="Heading2"/>
      </w:pPr>
      <w:r>
        <w:rPr>
          <w:rFonts w:ascii="Arial" w:cs="Arial" w:eastAsia="Arial" w:hAnsi="Arial"/>
          <w:b/>
          <w:bCs/>
          <w:color w:val="1F4E79"/>
          <w:sz w:val="26"/>
          <w:szCs w:val="26"/>
        </w:rPr>
        <w:t xml:space="preserve">9.2 AI as Software as a Medical Device (SaMD)</w:t>
      </w:r>
    </w:p>
    <w:p>
      <w:pPr>
        <w:pStyle w:val="ListParagraph"/>
        <w:numPr>
          <w:ilvl w:val="0"/>
          <w:numId w:val="2"/>
        </w:numPr>
        <w:spacing w:after="80"/>
      </w:pPr>
      <w:r>
        <w:rPr>
          <w:rFonts w:ascii="Arial" w:cs="Arial" w:eastAsia="Arial" w:hAnsi="Arial"/>
          <w:sz w:val="22"/>
          <w:szCs w:val="22"/>
        </w:rPr>
        <w:t xml:space="preserve">The triage AI and async annotation tool are candidate SaMD under FDA 21 CFR Part 882 and EU MDR Annex VIII Rule 11.</w:t>
      </w:r>
    </w:p>
    <w:p>
      <w:pPr>
        <w:pStyle w:val="ListParagraph"/>
        <w:numPr>
          <w:ilvl w:val="0"/>
          <w:numId w:val="2"/>
        </w:numPr>
        <w:spacing w:after="80"/>
      </w:pPr>
      <w:r>
        <w:rPr>
          <w:rFonts w:ascii="Arial" w:cs="Arial" w:eastAsia="Arial" w:hAnsi="Arial"/>
          <w:sz w:val="22"/>
          <w:szCs w:val="22"/>
        </w:rPr>
        <w:t xml:space="preserve">AI must be architected as decision support, not autonomous decision-making.</w:t>
      </w:r>
    </w:p>
    <w:p>
      <w:pPr>
        <w:pStyle w:val="ListParagraph"/>
        <w:numPr>
          <w:ilvl w:val="0"/>
          <w:numId w:val="2"/>
        </w:numPr>
        <w:spacing w:after="80"/>
      </w:pPr>
      <w:r>
        <w:rPr>
          <w:rFonts w:ascii="Arial" w:cs="Arial" w:eastAsia="Arial" w:hAnsi="Arial"/>
          <w:sz w:val="22"/>
          <w:szCs w:val="22"/>
        </w:rPr>
        <w:t xml:space="preserve">No AI output may result in a patient-facing communication without physician review and confirmation.</w:t>
      </w:r>
    </w:p>
    <w:p>
      <w:pPr>
        <w:pStyle w:val="ListParagraph"/>
        <w:numPr>
          <w:ilvl w:val="0"/>
          <w:numId w:val="2"/>
        </w:numPr>
        <w:spacing w:after="80"/>
      </w:pPr>
      <w:r>
        <w:rPr>
          <w:rFonts w:ascii="Arial" w:cs="Arial" w:eastAsia="Arial" w:hAnsi="Arial"/>
          <w:sz w:val="22"/>
          <w:szCs w:val="22"/>
        </w:rPr>
        <w:t xml:space="preserve">FDA Breakthrough Device Program application to be filed for triage engine prior to US launch.</w:t>
      </w:r>
    </w:p>
    <w:p>
      <w:pPr>
        <w:pStyle w:val="ListParagraph"/>
        <w:numPr>
          <w:ilvl w:val="0"/>
          <w:numId w:val="2"/>
        </w:numPr>
        <w:spacing w:after="80"/>
      </w:pPr>
      <w:r>
        <w:rPr>
          <w:rFonts w:ascii="Arial" w:cs="Arial" w:eastAsia="Arial" w:hAnsi="Arial"/>
          <w:sz w:val="22"/>
          <w:szCs w:val="22"/>
        </w:rPr>
        <w:t xml:space="preserve">EU MDR fast-track pathway to be pursued for EU launch.</w:t>
      </w:r>
    </w:p>
    <w:p>
      <w:pPr>
        <w:spacing w:after="120"/>
      </w:pPr>
      <w:r>
        <w:rPr>
          <w:rFonts w:ascii="Arial" w:cs="Arial" w:eastAsia="Arial" w:hAnsi="Arial"/>
          <w:b/>
          <w:bCs/>
          <w:color w:val="C00000"/>
          <w:sz w:val="22"/>
          <w:szCs w:val="22"/>
        </w:rPr>
        <w:t xml:space="preserve">[TBD] </w:t>
      </w:r>
      <w:r>
        <w:rPr>
          <w:rFonts w:ascii="Arial" w:cs="Arial" w:eastAsia="Arial" w:hAnsi="Arial"/>
          <w:color w:val="595959"/>
          <w:sz w:val="22"/>
          <w:szCs w:val="22"/>
        </w:rPr>
        <w:t xml:space="preserve">Regulatory affairs engagement timeline and responsible party to be assigned.</w:t>
      </w:r>
    </w:p>
    <w:p>
      <w:pPr>
        <w:spacing w:after="80"/>
      </w:pPr>
    </w:p>
    <w:p>
      <w:pPr>
        <w:pStyle w:val="Heading2"/>
      </w:pPr>
      <w:r>
        <w:rPr>
          <w:rFonts w:ascii="Arial" w:cs="Arial" w:eastAsia="Arial" w:hAnsi="Arial"/>
          <w:b/>
          <w:bCs/>
          <w:color w:val="1F4E79"/>
          <w:sz w:val="26"/>
          <w:szCs w:val="26"/>
        </w:rPr>
        <w:t xml:space="preserve">9.3 Clinical Practice Framing</w:t>
      </w:r>
    </w:p>
    <w:p>
      <w:pPr>
        <w:pStyle w:val="ListParagraph"/>
        <w:numPr>
          <w:ilvl w:val="0"/>
          <w:numId w:val="2"/>
        </w:numPr>
        <w:spacing w:after="80"/>
      </w:pPr>
      <w:r>
        <w:rPr>
          <w:rFonts w:ascii="Arial" w:cs="Arial" w:eastAsia="Arial" w:hAnsi="Arial"/>
          <w:sz w:val="22"/>
          <w:szCs w:val="22"/>
        </w:rPr>
        <w:t xml:space="preserve">All physician responses are framed as 'clinical guidance' — not diagnoses or prescriptions.</w:t>
      </w:r>
    </w:p>
    <w:p>
      <w:pPr>
        <w:pStyle w:val="ListParagraph"/>
        <w:numPr>
          <w:ilvl w:val="0"/>
          <w:numId w:val="2"/>
        </w:numPr>
        <w:spacing w:after="80"/>
      </w:pPr>
      <w:r>
        <w:rPr>
          <w:rFonts w:ascii="Arial" w:cs="Arial" w:eastAsia="Arial" w:hAnsi="Arial"/>
          <w:sz w:val="22"/>
          <w:szCs w:val="22"/>
        </w:rPr>
        <w:t xml:space="preserve">Response templates use disposition language: guidance on urgency, referral direction, home management steps.</w:t>
      </w:r>
    </w:p>
    <w:p>
      <w:pPr>
        <w:pStyle w:val="ListParagraph"/>
        <w:numPr>
          <w:ilvl w:val="0"/>
          <w:numId w:val="2"/>
        </w:numPr>
        <w:spacing w:after="80"/>
      </w:pPr>
      <w:r>
        <w:rPr>
          <w:rFonts w:ascii="Arial" w:cs="Arial" w:eastAsia="Arial" w:hAnsi="Arial"/>
          <w:sz w:val="22"/>
          <w:szCs w:val="22"/>
        </w:rPr>
        <w:t xml:space="preserve">Informed consent explicitly states the platform does not replace in-person examination.</w:t>
      </w:r>
    </w:p>
    <w:p>
      <w:pPr>
        <w:pStyle w:val="ListParagraph"/>
        <w:numPr>
          <w:ilvl w:val="0"/>
          <w:numId w:val="2"/>
        </w:numPr>
        <w:spacing w:after="80"/>
      </w:pPr>
      <w:r>
        <w:rPr>
          <w:rFonts w:ascii="Arial" w:cs="Arial" w:eastAsia="Arial" w:hAnsi="Arial"/>
          <w:sz w:val="22"/>
          <w:szCs w:val="22"/>
        </w:rPr>
        <w:t xml:space="preserve">Platform copy, consent language, and physician response templates must be reviewed by legal counsel before any patient-facing launch.</w:t>
      </w:r>
    </w:p>
    <w:p>
      <w:pPr>
        <w:spacing w:after="80"/>
      </w:pPr>
    </w:p>
    <w:p>
      <w:pPr>
        <w:pStyle w:val="Heading2"/>
      </w:pPr>
      <w:r>
        <w:rPr>
          <w:rFonts w:ascii="Arial" w:cs="Arial" w:eastAsia="Arial" w:hAnsi="Arial"/>
          <w:b/>
          <w:bCs/>
          <w:color w:val="1F4E79"/>
          <w:sz w:val="26"/>
          <w:szCs w:val="26"/>
        </w:rPr>
        <w:t xml:space="preserve">9.4 Async Liability Controls</w:t>
      </w:r>
    </w:p>
    <w:p>
      <w:pPr>
        <w:pStyle w:val="ListParagraph"/>
        <w:numPr>
          <w:ilvl w:val="0"/>
          <w:numId w:val="2"/>
        </w:numPr>
        <w:spacing w:after="80"/>
      </w:pPr>
      <w:r>
        <w:rPr>
          <w:rFonts w:ascii="Arial" w:cs="Arial" w:eastAsia="Arial" w:hAnsi="Arial"/>
          <w:sz w:val="22"/>
          <w:szCs w:val="22"/>
        </w:rPr>
        <w:t xml:space="preserve">Submission expiry: flagged as stale after 6–12 hours; physician cannot respond to stale submission without patient re-confirmation.</w:t>
      </w:r>
    </w:p>
    <w:p>
      <w:pPr>
        <w:pStyle w:val="ListParagraph"/>
        <w:numPr>
          <w:ilvl w:val="0"/>
          <w:numId w:val="2"/>
        </w:numPr>
        <w:spacing w:after="80"/>
      </w:pPr>
      <w:r>
        <w:rPr>
          <w:rFonts w:ascii="Arial" w:cs="Arial" w:eastAsia="Arial" w:hAnsi="Arial"/>
          <w:sz w:val="22"/>
          <w:szCs w:val="22"/>
        </w:rPr>
        <w:t xml:space="preserve">Pre-response check-in: automated patient status ping before guidance is delivered.</w:t>
      </w:r>
    </w:p>
    <w:p>
      <w:pPr>
        <w:pStyle w:val="ListParagraph"/>
        <w:numPr>
          <w:ilvl w:val="0"/>
          <w:numId w:val="2"/>
        </w:numPr>
        <w:spacing w:after="80"/>
      </w:pPr>
      <w:r>
        <w:rPr>
          <w:rFonts w:ascii="Arial" w:cs="Arial" w:eastAsia="Arial" w:hAnsi="Arial"/>
          <w:sz w:val="22"/>
          <w:szCs w:val="22"/>
        </w:rPr>
        <w:t xml:space="preserve">Escalation trigger: if patient reports worsening or does not respond to check-in within 2 hours, case escalates to live queue or emergency routing.</w:t>
      </w:r>
    </w:p>
    <w:p>
      <w:pPr>
        <w:pStyle w:val="ListParagraph"/>
        <w:numPr>
          <w:ilvl w:val="0"/>
          <w:numId w:val="2"/>
        </w:numPr>
        <w:spacing w:after="80"/>
      </w:pPr>
      <w:r>
        <w:rPr>
          <w:rFonts w:ascii="Arial" w:cs="Arial" w:eastAsia="Arial" w:hAnsi="Arial"/>
          <w:sz w:val="22"/>
          <w:szCs w:val="22"/>
        </w:rPr>
        <w:t xml:space="preserve">Hard emergency exclusions: as defined in Section 5.1.3 — hardcoded and non-overridable.</w:t>
      </w:r>
    </w:p>
    <w:p>
      <w:pPr>
        <w:spacing w:after="80"/>
      </w:pPr>
    </w:p>
    <w:p>
      <w:r>
        <w:br w:type="page"/>
      </w:r>
    </w:p>
    <w:p>
      <w:pPr>
        <w:pStyle w:val="Heading1"/>
      </w:pPr>
      <w:r>
        <w:rPr>
          <w:rFonts w:ascii="Arial" w:cs="Arial" w:eastAsia="Arial" w:hAnsi="Arial"/>
          <w:b/>
          <w:bCs/>
          <w:color w:val="1F4E79"/>
          <w:sz w:val="32"/>
          <w:szCs w:val="32"/>
        </w:rPr>
        <w:t xml:space="preserve">10. Open Items &amp; TBD Registry</w:t>
      </w:r>
    </w:p>
    <w:p>
      <w:pPr>
        <w:pBdr>
          <w:bottom w:val="single" w:color="D0D0D0" w:sz="4"/>
        </w:pBdr>
        <w:spacing w:after="200"/>
      </w:pPr>
    </w:p>
    <w:p>
      <w:pPr>
        <w:spacing w:after="120"/>
      </w:pPr>
      <w:r>
        <w:rPr>
          <w:rFonts w:ascii="Arial" w:cs="Arial" w:eastAsia="Arial" w:hAnsi="Arial"/>
          <w:b w:val="false"/>
          <w:bCs w:val="false"/>
          <w:color w:val="000000"/>
          <w:sz w:val="22"/>
          <w:szCs w:val="22"/>
        </w:rPr>
        <w:t xml:space="preserve">The following items require resolution before the affected module can be fully specified. Each is tagged with a responsible stakeholder area and a suggested resolution milestone.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60"/>
        <w:gridCol w:w="2000"/>
        <w:gridCol w:w="360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Open Item</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 Area</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Milestone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1</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Audio call modality full feature scope (Section 5.3)</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Product + Clinical</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BF8F00"/>
                <w:sz w:val="20"/>
                <w:szCs w:val="20"/>
              </w:rPr>
              <w:t xml:space="preserve">Phase 1 — month 3</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2</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Audio call queue architecture — shared with video or dedicated</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Engineering + Product</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BF8F00"/>
                <w:sz w:val="20"/>
                <w:szCs w:val="20"/>
              </w:rPr>
              <w:t xml:space="preserve">Phase 1 — month 3</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3</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Speech-to-speech translation quality validation for audio call</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Clinical + Translation Vendor</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BF8F00"/>
                <w:sz w:val="20"/>
                <w:szCs w:val="20"/>
              </w:rPr>
              <w:t xml:space="preserve">Phase 1 — month 4</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4</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Technology stack selection — frontend, backend, video/audio vendor</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Engineering</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BF8F00"/>
                <w:sz w:val="20"/>
                <w:szCs w:val="20"/>
              </w:rPr>
              <w:t xml:space="preserve">Phase 1 — month 2</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5</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Translation vendor selection and medical glossary development</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Clinical + Legal</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BF8F00"/>
                <w:sz w:val="20"/>
                <w:szCs w:val="20"/>
              </w:rPr>
              <w:t xml:space="preserve">Phase 1 — month 3</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6</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AI triage model architecture — custom vs. third-party</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Engineering + Clinical</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BF8F00"/>
                <w:sz w:val="20"/>
                <w:szCs w:val="20"/>
              </w:rPr>
              <w:t xml:space="preserve">Phase 1 — month 4</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7</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SaMD regulatory filing timeline and responsible party</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Legal + Regulatory Affairs</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BF8F00"/>
                <w:sz w:val="20"/>
                <w:szCs w:val="20"/>
              </w:rPr>
              <w:t xml:space="preserve">Phase 1 — month 2</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8</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 residency mapping per launch jurisdictions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Legal + Infrastructure</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BF8F00"/>
                <w:sz w:val="20"/>
                <w:szCs w:val="20"/>
              </w:rPr>
              <w:t xml:space="preserve">Phase 1 — month 3</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9</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Physician response template library</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CMO + Clinical Advisory</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BF8F00"/>
                <w:sz w:val="20"/>
                <w:szCs w:val="20"/>
              </w:rPr>
              <w:t xml:space="preserve">Phase 1 — month 4</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10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Async video submission constraints (max duration, format, size)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Engineering + Clinical</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BF8F00"/>
                <w:sz w:val="20"/>
                <w:szCs w:val="20"/>
              </w:rPr>
              <w:t xml:space="preserve">Phase 1 — month 2</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11</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Consent versioning and re-consent workflow</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Legal</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BF8F00"/>
                <w:sz w:val="20"/>
                <w:szCs w:val="20"/>
              </w:rPr>
              <w:t xml:space="preserve">Phase 1 — month 3</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12</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SLA escalation thresholds (wait time, urgency escalation)</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Clinical Operations</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BF8F00"/>
                <w:sz w:val="20"/>
                <w:szCs w:val="20"/>
              </w:rPr>
              <w:t xml:space="preserve">Phase 1 — month 3</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13</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Triage operator role — staffing model and console design</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Operations + Product</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BF8F00"/>
                <w:sz w:val="20"/>
                <w:szCs w:val="20"/>
              </w:rPr>
              <w:t xml:space="preserve">Phase 2</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14</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Clinical supervisor role and quality metrics framework</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CMO + Clinical Advisory</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BF8F00"/>
                <w:sz w:val="20"/>
                <w:szCs w:val="20"/>
              </w:rPr>
              <w:t xml:space="preserve">Phase 2</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15</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e-Prescribing feasibility per target jurisdiction</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Legal + Clinical</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BF8F00"/>
                <w:sz w:val="20"/>
                <w:szCs w:val="20"/>
              </w:rPr>
              <w:t xml:space="preserve">Phase 3</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16</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FHIR integration for health record portability</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Engineering</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BF8F00"/>
                <w:sz w:val="20"/>
                <w:szCs w:val="20"/>
              </w:rPr>
              <w:t xml:space="preserve">Phase 3+</w:t>
            </w:r>
          </w:p>
        </w:tc>
      </w:tr>
    </w:tbl>
    <w:p>
      <w:pPr>
        <w:spacing w:after="160"/>
      </w:pPr>
    </w:p>
    <w:p>
      <w:r>
        <w:br w:type="page"/>
      </w:r>
    </w:p>
    <w:p>
      <w:pPr>
        <w:pStyle w:val="Heading1"/>
      </w:pPr>
      <w:r>
        <w:rPr>
          <w:rFonts w:ascii="Arial" w:cs="Arial" w:eastAsia="Arial" w:hAnsi="Arial"/>
          <w:b/>
          <w:bCs/>
          <w:color w:val="1F4E79"/>
          <w:sz w:val="32"/>
          <w:szCs w:val="32"/>
        </w:rPr>
        <w:t xml:space="preserve">11. Appendix</w:t>
      </w:r>
    </w:p>
    <w:p>
      <w:pPr>
        <w:pBdr>
          <w:bottom w:val="single" w:color="D0D0D0" w:sz="4"/>
        </w:pBdr>
        <w:spacing w:after="200"/>
      </w:pPr>
    </w:p>
    <w:p>
      <w:pPr>
        <w:pStyle w:val="Heading2"/>
      </w:pPr>
      <w:r>
        <w:rPr>
          <w:rFonts w:ascii="Arial" w:cs="Arial" w:eastAsia="Arial" w:hAnsi="Arial"/>
          <w:b/>
          <w:bCs/>
          <w:color w:val="1F4E79"/>
          <w:sz w:val="26"/>
          <w:szCs w:val="26"/>
        </w:rPr>
        <w:t xml:space="preserve">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Async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Asynchronous — patient and physician interact with a time gap; not in real time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SaMD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Software as a Medical Device — software that influences clinical decisions; subject to FDA/MDR regulation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SLA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Service Level Agreement — defined maximum response window, e.g., 8 hours for async review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Triage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Clinical prioritization process that assigns urgency level to patient cases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CMO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Chief Medical Officer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RBAC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Role-Based Access Control — permissions system based on user role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TLS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Transport Layer Security — encryption protocol for data in transit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HIPAA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Health Insurance Portability and Accountability Act — US health data privacy law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GDPR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General Data Protection Regulation — EU data privacy law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LGPD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Lei Geral de Proteção de Dados — Brazilian data privacy law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FHIR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Fast Healthcare Interoperability Resources — health data exchange standard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IMLC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Interstate Medical Licensure Compact — US multi-state physician licensing framework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DPO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 Protection Officer — GDPR-required role for organizations processing health data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WebRTC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Web Real-Time Communication — browser-native protocol for live audio/video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VOIP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Voice over Internet Protocol — internet-based telephone communication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PII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Personally Identifiable Information</w:t>
            </w:r>
          </w:p>
        </w:tc>
      </w:tr>
    </w:tbl>
    <w:p>
      <w:pPr>
        <w:spacing w:after="160"/>
      </w:pPr>
    </w:p>
    <w:p>
      <w:pPr>
        <w:pStyle w:val="Heading2"/>
      </w:pPr>
      <w:r>
        <w:rPr>
          <w:rFonts w:ascii="Arial" w:cs="Arial" w:eastAsia="Arial" w:hAnsi="Arial"/>
          <w:b/>
          <w:bCs/>
          <w:color w:val="1F4E79"/>
          <w:sz w:val="26"/>
          <w:szCs w:val="26"/>
        </w:rPr>
        <w:t xml:space="preserve">B. Reference Documents</w:t>
      </w:r>
    </w:p>
    <w:p>
      <w:pPr>
        <w:pStyle w:val="ListParagraph"/>
        <w:numPr>
          <w:ilvl w:val="0"/>
          <w:numId w:val="2"/>
        </w:numPr>
        <w:spacing w:after="80"/>
      </w:pPr>
      <w:r>
        <w:rPr>
          <w:rFonts w:ascii="Arial" w:cs="Arial" w:eastAsia="Arial" w:hAnsi="Arial"/>
          <w:sz w:val="22"/>
          <w:szCs w:val="22"/>
        </w:rPr>
        <w:t xml:space="preserve">Open Access Telehealth Platform — Project Summary (see companion .txt document)</w:t>
      </w:r>
    </w:p>
    <w:p>
      <w:pPr>
        <w:pStyle w:val="ListParagraph"/>
        <w:numPr>
          <w:ilvl w:val="0"/>
          <w:numId w:val="2"/>
        </w:numPr>
        <w:spacing w:after="80"/>
      </w:pPr>
      <w:r>
        <w:rPr>
          <w:rFonts w:ascii="Arial" w:cs="Arial" w:eastAsia="Arial" w:hAnsi="Arial"/>
          <w:sz w:val="22"/>
          <w:szCs w:val="22"/>
        </w:rPr>
        <w:t xml:space="preserve">WHO Global Strategy on Digital Health 2020–2025</w:t>
      </w:r>
    </w:p>
    <w:p>
      <w:pPr>
        <w:pStyle w:val="ListParagraph"/>
        <w:numPr>
          <w:ilvl w:val="0"/>
          <w:numId w:val="2"/>
        </w:numPr>
        <w:spacing w:after="80"/>
      </w:pPr>
      <w:r>
        <w:rPr>
          <w:rFonts w:ascii="Arial" w:cs="Arial" w:eastAsia="Arial" w:hAnsi="Arial"/>
          <w:sz w:val="22"/>
          <w:szCs w:val="22"/>
        </w:rPr>
        <w:t xml:space="preserve">FDA Guidance: Software as a Medical Device (SaMD) — Clinical Evaluation</w:t>
      </w:r>
    </w:p>
    <w:p>
      <w:pPr>
        <w:pStyle w:val="ListParagraph"/>
        <w:numPr>
          <w:ilvl w:val="0"/>
          <w:numId w:val="2"/>
        </w:numPr>
        <w:spacing w:after="80"/>
      </w:pPr>
      <w:r>
        <w:rPr>
          <w:rFonts w:ascii="Arial" w:cs="Arial" w:eastAsia="Arial" w:hAnsi="Arial"/>
          <w:sz w:val="22"/>
          <w:szCs w:val="22"/>
        </w:rPr>
        <w:t xml:space="preserve">EU Medical Device Regulation (MDR) 2017/745 — Annex VIII Rule 11</w:t>
      </w:r>
    </w:p>
    <w:p>
      <w:pPr>
        <w:pStyle w:val="ListParagraph"/>
        <w:numPr>
          <w:ilvl w:val="0"/>
          <w:numId w:val="2"/>
        </w:numPr>
        <w:spacing w:after="80"/>
      </w:pPr>
      <w:r>
        <w:rPr>
          <w:rFonts w:ascii="Arial" w:cs="Arial" w:eastAsia="Arial" w:hAnsi="Arial"/>
          <w:sz w:val="22"/>
          <w:szCs w:val="22"/>
        </w:rPr>
        <w:t xml:space="preserve">HHS HIPAA Security Rule (45 CFR Parts 160 and 164)</w:t>
      </w:r>
    </w:p>
    <w:p>
      <w:pPr>
        <w:pStyle w:val="ListParagraph"/>
        <w:numPr>
          <w:ilvl w:val="0"/>
          <w:numId w:val="2"/>
        </w:numPr>
        <w:spacing w:after="80"/>
      </w:pPr>
      <w:r>
        <w:rPr>
          <w:rFonts w:ascii="Arial" w:cs="Arial" w:eastAsia="Arial" w:hAnsi="Arial"/>
          <w:sz w:val="22"/>
          <w:szCs w:val="22"/>
        </w:rPr>
        <w:t xml:space="preserve">GDPR Article 9 — Processing of Special Categories of Personal Data</w:t>
      </w:r>
    </w:p>
    <w:p>
      <w:pPr>
        <w:pStyle w:val="ListParagraph"/>
        <w:numPr>
          <w:ilvl w:val="0"/>
          <w:numId w:val="2"/>
        </w:numPr>
        <w:spacing w:after="80"/>
      </w:pPr>
      <w:r>
        <w:rPr>
          <w:rFonts w:ascii="Arial" w:cs="Arial" w:eastAsia="Arial" w:hAnsi="Arial"/>
          <w:sz w:val="22"/>
          <w:szCs w:val="22"/>
        </w:rPr>
        <w:t xml:space="preserve">Interstate Medical Licensure Compact (IMLC) — imlcc.org</w:t>
      </w:r>
    </w:p>
    <w:p>
      <w:pPr>
        <w:spacing w:after="160"/>
      </w:pPr>
    </w:p>
    <w:p>
      <w:pPr>
        <w:pStyle w:val="Heading2"/>
      </w:pPr>
      <w:r>
        <w:rPr>
          <w:rFonts w:ascii="Arial" w:cs="Arial" w:eastAsia="Arial" w:hAnsi="Arial"/>
          <w:b/>
          <w:bCs/>
          <w:color w:val="1F4E79"/>
          <w:sz w:val="26"/>
          <w:szCs w:val="26"/>
        </w:rPr>
        <w:t xml:space="preserve">C.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March 28, 2026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[TBD] — Project Lead</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95959"/>
                <w:sz w:val="20"/>
                <w:szCs w:val="20"/>
              </w:rPr>
              <w:t xml:space="preserve">Initial draft — structure and outline from discovery sessions</w:t>
            </w:r>
          </w:p>
        </w:tc>
      </w:tr>
    </w:tbl>
    <w:p>
      <w:pPr>
        <w:spacing w:after="16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pPr>
    <w:r>
      <w:rPr>
        <w:rFonts w:ascii="Arial" w:cs="Arial" w:eastAsia="Arial" w:hAnsi="Arial"/>
        <w:color w:val="595959"/>
        <w:sz w:val="18"/>
        <w:szCs w:val="18"/>
      </w:rPr>
      <w:t xml:space="preserve">Open Access Telehealth Platform — SDD</w:t>
    </w:r>
    <w:r>
      <w:rPr>
        <w:rFonts w:ascii="Arial" w:cs="Arial" w:eastAsia="Arial" w:hAnsi="Arial"/>
        <w:b/>
        <w:bCs/>
        <w:color w:val="C00000"/>
        <w:sz w:val="18"/>
        <w:szCs w:val="18"/>
      </w:rPr>
      <w:t xml:space="preserve">     CONFIDENTIAL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2026-03-28T00:33:25.715Z</dcterms:created>
  <dcterms:modified xsi:type="dcterms:W3CDTF">2026-03-28T00:33:25.715Z</dcterms:modified>
</cp:coreProperties>
</file>

<file path=docProps/custom.xml><?xml version="1.0" encoding="utf-8"?>
<Properties xmlns="http://schemas.openxmlformats.org/officeDocument/2006/custom-properties" xmlns:vt="http://schemas.openxmlformats.org/officeDocument/2006/docPropsVTypes"/>
</file>