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67" w:rsidRDefault="00245165">
      <w:r>
        <w:t>EZB-Transparenzmonitor – Detailplanung</w:t>
      </w:r>
    </w:p>
    <w:p w:rsidR="00245165" w:rsidRDefault="00245165">
      <w:r>
        <w:t xml:space="preserve">Stand: </w:t>
      </w:r>
      <w:r w:rsidR="0098390F">
        <w:t>21.10.2025</w:t>
      </w:r>
    </w:p>
    <w:p w:rsidR="00245165" w:rsidRDefault="00245165"/>
    <w:p w:rsidR="00277296" w:rsidRDefault="00277296" w:rsidP="00277296">
      <w:pPr>
        <w:pStyle w:val="berschrift1"/>
      </w:pPr>
      <w:r>
        <w:t>Zeitplan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Ziel Launch: Ende Q1 2026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Vorläufige Version, fertig für externe Tests: En</w:t>
      </w:r>
      <w:r w:rsidR="00F80A04">
        <w:rPr>
          <w:b/>
        </w:rPr>
        <w:t>d</w:t>
      </w:r>
      <w:r w:rsidRPr="00277296">
        <w:rPr>
          <w:b/>
        </w:rPr>
        <w:t>e Q4</w:t>
      </w:r>
      <w:r w:rsidR="00F80A04">
        <w:rPr>
          <w:b/>
        </w:rPr>
        <w:t xml:space="preserve"> 2025</w:t>
      </w:r>
    </w:p>
    <w:p w:rsidR="00277296" w:rsidRDefault="00277296">
      <w:r>
        <w:t>Aufgabenteilung: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Friedrich und Jan spezifizieren ZEW-EZB-Indikatorik und Zeitreihen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Peter erarbeitet bis Anfang Oktober erste Ideen für Erschei</w:t>
      </w:r>
      <w:r w:rsidR="00091DA0">
        <w:t>n</w:t>
      </w:r>
      <w:r>
        <w:t>ungsbild und leichte Zeitreihen-Downloadmöglichkeit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Jan: Lieferung Daten EZB-Ratsmiglieder an Peter</w:t>
      </w:r>
      <w:r w:rsidR="00F80A04" w:rsidRPr="00F80A04">
        <w:t xml:space="preserve"> (hatten wir  beim Workshop nicht angesprochen, aber die Daten haben wir schon glaube ich)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Pascal und Julia stehen als Sparringspartner zur Verfügung und machen sich Gedanken zur Kommunikationsseite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Nächster interner Workshop 7. Oktober</w:t>
      </w:r>
      <w:r>
        <w:rPr>
          <w:b/>
        </w:rPr>
        <w:t xml:space="preserve"> 14:30 Uhr</w:t>
      </w:r>
    </w:p>
    <w:p w:rsidR="00277296" w:rsidRDefault="00277296"/>
    <w:p w:rsidR="00277296" w:rsidRDefault="00277296"/>
    <w:p w:rsidR="00277296" w:rsidRDefault="00277296"/>
    <w:p w:rsidR="00277296" w:rsidRDefault="00277296"/>
    <w:p w:rsidR="00432136" w:rsidRDefault="00432136" w:rsidP="00432136">
      <w:pPr>
        <w:pStyle w:val="berschrift1"/>
      </w:pPr>
      <w:r>
        <w:t>Zu klären:</w:t>
      </w:r>
    </w:p>
    <w:p w:rsidR="00F4539D" w:rsidRDefault="00432136" w:rsidP="00432136">
      <w:pPr>
        <w:pStyle w:val="Listenabsatz"/>
        <w:numPr>
          <w:ilvl w:val="0"/>
          <w:numId w:val="2"/>
        </w:numPr>
      </w:pPr>
      <w:r>
        <w:t>Automatisierte Schnittstellen von EZB, Eurostat möglich? Thomas Wirth</w:t>
      </w:r>
      <w:r w:rsidR="00F4539D">
        <w:t>: es kommt auf die Copyrights der Anbieter an.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Eurostat: </w:t>
      </w:r>
      <w:hyperlink r:id="rId5" w:history="1">
        <w:r w:rsidRPr="00522361">
          <w:rPr>
            <w:rStyle w:val="Hyperlink"/>
          </w:rPr>
          <w:t>https://ec.europa.eu/eurostat/de/web/main/help/copyright-notice</w:t>
        </w:r>
      </w:hyperlink>
      <w:r>
        <w:t xml:space="preserve"> - kein Problem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ECB: </w:t>
      </w:r>
      <w:hyperlink r:id="rId6" w:history="1">
        <w:r w:rsidR="00145ABD" w:rsidRPr="00522361">
          <w:rPr>
            <w:rStyle w:val="Hyperlink"/>
          </w:rPr>
          <w:t>https://www.ecb.europa.eu/services/using-our-site/disclaimer/html/index.en.html</w:t>
        </w:r>
      </w:hyperlink>
      <w:r w:rsidR="00145ABD">
        <w:t xml:space="preserve">  - keine Problem</w:t>
      </w:r>
    </w:p>
    <w:p w:rsidR="00432136" w:rsidRDefault="00432136" w:rsidP="00432136">
      <w:pPr>
        <w:pStyle w:val="Listenabsatz"/>
        <w:numPr>
          <w:ilvl w:val="0"/>
          <w:numId w:val="2"/>
        </w:numPr>
      </w:pPr>
      <w:r>
        <w:t>Leichte Zeitreihen-Download-Möglichkeit</w:t>
      </w:r>
      <w:r w:rsidR="00833670">
        <w:t xml:space="preserve"> – Template programmieren</w:t>
      </w:r>
    </w:p>
    <w:p w:rsidR="00277296" w:rsidRDefault="00277296" w:rsidP="00432136">
      <w:pPr>
        <w:pStyle w:val="Listenabsatz"/>
        <w:numPr>
          <w:ilvl w:val="0"/>
          <w:numId w:val="2"/>
        </w:numPr>
      </w:pPr>
      <w:r>
        <w:t>Automatisierung von Daten-Importen (Zeitstempel zum Aktualitäsgrad herausgeben).</w:t>
      </w:r>
    </w:p>
    <w:p w:rsidR="00277296" w:rsidRDefault="00277296" w:rsidP="00277296"/>
    <w:p w:rsidR="00432136" w:rsidRDefault="00432136"/>
    <w:p w:rsidR="00432136" w:rsidRDefault="00432136"/>
    <w:p w:rsidR="00432136" w:rsidRDefault="00432136"/>
    <w:p w:rsidR="00245165" w:rsidRPr="00245165" w:rsidRDefault="00245165" w:rsidP="00245165">
      <w:pPr>
        <w:pStyle w:val="berschrift1"/>
      </w:pPr>
      <w:r w:rsidRPr="00245165">
        <w:t>Ausgangspunkt:</w:t>
      </w:r>
    </w:p>
    <w:p w:rsidR="00245165" w:rsidRDefault="00245165">
      <w:r>
        <w:t>Wir brauchen eine transparente Eingangsseite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Leichter Zugang zu den verschiedenen Unterabschnitten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der letzten Aktualisierung und des nächsten Termin</w:t>
      </w:r>
    </w:p>
    <w:p w:rsidR="00245165" w:rsidRDefault="00245165" w:rsidP="00245165">
      <w:pPr>
        <w:pStyle w:val="Listenabsatz"/>
        <w:numPr>
          <w:ilvl w:val="1"/>
          <w:numId w:val="1"/>
        </w:numPr>
      </w:pPr>
      <w:r>
        <w:t>(Entscheidung Frequenz)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„ZEW-EZB-Indikator“</w:t>
      </w:r>
    </w:p>
    <w:p w:rsidR="00833670" w:rsidRDefault="00833670" w:rsidP="00245165">
      <w:pPr>
        <w:pStyle w:val="Listenabsatz"/>
        <w:numPr>
          <w:ilvl w:val="0"/>
          <w:numId w:val="1"/>
        </w:numPr>
      </w:pPr>
      <w:r>
        <w:t>Wissenschaftliche Grundlage</w:t>
      </w:r>
    </w:p>
    <w:p w:rsidR="00277296" w:rsidRDefault="00277296" w:rsidP="00277296">
      <w:r>
        <w:t>Besprechung 22.7.: Auf die Seite gehört: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Logo SGW, ZEW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Navigationsleiste mit Tabs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Impressum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Sprachenumschaltung DE/EN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Kontakt/Datenschutz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Seite ist auf Smartphone-Darstellbarkeit zu testen</w:t>
      </w:r>
    </w:p>
    <w:p w:rsidR="00245165" w:rsidRDefault="00245165" w:rsidP="00245165"/>
    <w:p w:rsidR="00245165" w:rsidRDefault="00245165"/>
    <w:p w:rsidR="00245165" w:rsidRDefault="00245165"/>
    <w:p w:rsidR="00245165" w:rsidRDefault="00245165" w:rsidP="00245165">
      <w:pPr>
        <w:pStyle w:val="berschrift1"/>
      </w:pPr>
      <w:r>
        <w:t>Diese Felder sollen abgedeckt werden:</w:t>
      </w:r>
    </w:p>
    <w:p w:rsidR="00245165" w:rsidRDefault="00245165"/>
    <w:p w:rsidR="00245165" w:rsidRDefault="00245165"/>
    <w:p w:rsidR="00245165" w:rsidRDefault="00245165">
      <w:r w:rsidRPr="00245165">
        <w:rPr>
          <w:noProof/>
          <w:lang w:eastAsia="de-DE"/>
        </w:rPr>
        <w:drawing>
          <wp:inline distT="0" distB="0" distL="0" distR="0" wp14:anchorId="7FE7472B" wp14:editId="76D6957C">
            <wp:extent cx="3113378" cy="215541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790" cy="2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65" w:rsidRDefault="00245165"/>
    <w:p w:rsidR="00245165" w:rsidRDefault="00245165" w:rsidP="00245165">
      <w:pPr>
        <w:pStyle w:val="berschrift1"/>
      </w:pPr>
      <w:r>
        <w:t>EZB-Rat</w:t>
      </w:r>
    </w:p>
    <w:p w:rsidR="00245165" w:rsidRDefault="00245165" w:rsidP="00245165"/>
    <w:p w:rsidR="00245165" w:rsidRPr="006B4E9E" w:rsidRDefault="00245165" w:rsidP="00245165">
      <w:r w:rsidRPr="006B4E9E">
        <w:t>Ausgangspunkt Liste mit Fotos und Namen</w:t>
      </w:r>
    </w:p>
    <w:p w:rsidR="00245165" w:rsidRDefault="00245165" w:rsidP="00245165">
      <w:r>
        <w:t>Anklickbar: CVs mit Daten Amtszeit</w:t>
      </w:r>
    </w:p>
    <w:p w:rsidR="00245165" w:rsidRDefault="00B751E8" w:rsidP="00245165">
      <w:r>
        <w:t>LLM-Indikator prominent</w:t>
      </w:r>
    </w:p>
    <w:p w:rsidR="00B751E8" w:rsidRPr="006B4E9E" w:rsidRDefault="00B751E8" w:rsidP="00245165">
      <w:pPr>
        <w:rPr>
          <w:b/>
        </w:rPr>
      </w:pPr>
      <w:r w:rsidRPr="006B4E9E">
        <w:rPr>
          <w:b/>
        </w:rPr>
        <w:t>Mehrheitsverhältnnisse Hawk-dove über Zeit</w:t>
      </w:r>
      <w:r w:rsidR="006B4E9E" w:rsidRPr="006B4E9E">
        <w:rPr>
          <w:b/>
        </w:rPr>
        <w:t xml:space="preserve"> – Median-Ratsmitglied</w:t>
      </w:r>
    </w:p>
    <w:p w:rsidR="006B4E9E" w:rsidRDefault="006B4E9E" w:rsidP="00245165"/>
    <w:p w:rsidR="003B67FB" w:rsidRDefault="003B67FB" w:rsidP="00245165"/>
    <w:p w:rsidR="003B67FB" w:rsidRPr="003B67FB" w:rsidRDefault="003B67FB" w:rsidP="00A10099">
      <w:pPr>
        <w:pStyle w:val="berschrift1"/>
      </w:pPr>
      <w:r w:rsidRPr="003B67FB">
        <w:t>Makrodaten</w:t>
      </w:r>
    </w:p>
    <w:p w:rsidR="00176811" w:rsidRDefault="003B67FB" w:rsidP="00245165">
      <w:r>
        <w:t>HVPI-Inflation</w:t>
      </w:r>
      <w:r w:rsidR="00A10099">
        <w:t xml:space="preserve"> </w:t>
      </w:r>
    </w:p>
    <w:p w:rsidR="00176811" w:rsidRPr="008A20C8" w:rsidRDefault="00176811" w:rsidP="00245165">
      <w:r w:rsidRPr="008A20C8">
        <w:t>Eurostat</w:t>
      </w:r>
    </w:p>
    <w:p w:rsidR="00176811" w:rsidRPr="008A20C8" w:rsidRDefault="00176811" w:rsidP="00245165">
      <w:r w:rsidRPr="008A20C8">
        <w:t>https://ec.europa.eu/eurostat/databrowser/view/prc_hicp_manr/default/table?lang=en&amp;category=prc.prc_hicp</w:t>
      </w:r>
    </w:p>
    <w:p w:rsidR="003B67FB" w:rsidRPr="008A20C8" w:rsidRDefault="003B67FB" w:rsidP="00245165">
      <w:r w:rsidRPr="008A20C8">
        <w:t>Outputlücke</w:t>
      </w:r>
    </w:p>
    <w:p w:rsidR="00176811" w:rsidRPr="008A20C8" w:rsidRDefault="00176811" w:rsidP="00245165">
      <w:r w:rsidRPr="008A20C8">
        <w:t>AMECO Database (Details  zu AMECO siehe oben).</w:t>
      </w:r>
    </w:p>
    <w:p w:rsidR="00176811" w:rsidRPr="008A20C8" w:rsidRDefault="00176811" w:rsidP="00245165">
      <w:r w:rsidRPr="008A20C8">
        <w:t>https://dashboard.tech.ec.europa.eu/qs_digit_dashboard_mt/public/sense/app/667e9fba-eea7-4d17-abf0-ef20f6994336/sheet/2f9f3ab7-09e9-4665-92d1-de9ead91fac7/state/analysis</w:t>
      </w:r>
    </w:p>
    <w:p w:rsidR="00176811" w:rsidRPr="008A20C8" w:rsidRDefault="00176811" w:rsidP="00245165"/>
    <w:p w:rsidR="003B67FB" w:rsidRPr="008A20C8" w:rsidRDefault="003B67FB" w:rsidP="00245165">
      <w:r w:rsidRPr="008A20C8">
        <w:t xml:space="preserve">Mitgliedstaaten, Euro-Durchschnitt, </w:t>
      </w:r>
      <w:r w:rsidR="00833670" w:rsidRPr="008A20C8">
        <w:rPr>
          <w:b/>
        </w:rPr>
        <w:t>LLM-</w:t>
      </w:r>
      <w:r w:rsidRPr="008A20C8">
        <w:rPr>
          <w:b/>
        </w:rPr>
        <w:t>Median-Land</w:t>
      </w:r>
    </w:p>
    <w:p w:rsidR="003B67FB" w:rsidRPr="008A20C8" w:rsidRDefault="00D143DE" w:rsidP="00245165">
      <w:r w:rsidRPr="008A20C8">
        <w:t>Abweichung Median vom Euro-Durchschnitt</w:t>
      </w:r>
    </w:p>
    <w:p w:rsidR="00D143DE" w:rsidRPr="008A20C8" w:rsidRDefault="00D143DE" w:rsidP="00245165"/>
    <w:p w:rsidR="003B67FB" w:rsidRPr="008A20C8" w:rsidRDefault="00A10099" w:rsidP="00A10099">
      <w:pPr>
        <w:pStyle w:val="berschrift1"/>
      </w:pPr>
      <w:r w:rsidRPr="008A20C8">
        <w:t>Fakten EZB-Geldpolitik</w:t>
      </w:r>
    </w:p>
    <w:p w:rsidR="00A10099" w:rsidRPr="008A20C8" w:rsidRDefault="00A10099" w:rsidP="00245165">
      <w:r w:rsidRPr="008A20C8">
        <w:t xml:space="preserve">Leitzinsen </w:t>
      </w:r>
      <w:r w:rsidR="00176811" w:rsidRPr="008A20C8">
        <w:t>–</w:t>
      </w:r>
      <w:r w:rsidRPr="008A20C8">
        <w:t xml:space="preserve"> </w:t>
      </w:r>
    </w:p>
    <w:p w:rsidR="00176811" w:rsidRDefault="00176811" w:rsidP="00245165">
      <w:r w:rsidRPr="008A20C8">
        <w:t>https://www.ecb.europa.eu/stats/policy_and_exchange_rates/key_ecb_interest_rates/html/index.de.html</w:t>
      </w:r>
    </w:p>
    <w:p w:rsidR="00A10099" w:rsidRDefault="00A10099" w:rsidP="00245165">
      <w:r>
        <w:t>Termine Ratssitzungen</w:t>
      </w:r>
    </w:p>
    <w:p w:rsidR="00A10099" w:rsidRDefault="00A10099" w:rsidP="00245165">
      <w:r>
        <w:t>Status Ankaufprogramme</w:t>
      </w:r>
    </w:p>
    <w:p w:rsidR="00A10099" w:rsidRDefault="00833670" w:rsidP="00245165">
      <w:r>
        <w:t>Neueste Reden</w:t>
      </w:r>
    </w:p>
    <w:p w:rsidR="00833670" w:rsidRPr="00D143DE" w:rsidRDefault="00833670" w:rsidP="00245165">
      <w:pPr>
        <w:rPr>
          <w:b/>
        </w:rPr>
      </w:pPr>
      <w:r w:rsidRPr="00D143DE">
        <w:rPr>
          <w:b/>
        </w:rPr>
        <w:t>Indikator LLM</w:t>
      </w:r>
    </w:p>
    <w:p w:rsidR="00A10099" w:rsidRDefault="00A10099" w:rsidP="00A10099">
      <w:pPr>
        <w:pStyle w:val="berschrift1"/>
      </w:pPr>
      <w:r>
        <w:t>Externe wissenschaftliche Reflexionen</w:t>
      </w:r>
    </w:p>
    <w:p w:rsidR="00A10099" w:rsidRDefault="00A10099" w:rsidP="00245165">
      <w:r>
        <w:t>Charakter: ZEW-Wissenschaftler screenen die wissenschaftliche Literatur</w:t>
      </w:r>
    </w:p>
    <w:p w:rsidR="00A10099" w:rsidRDefault="00A10099" w:rsidP="00245165"/>
    <w:p w:rsidR="00A10099" w:rsidRDefault="00A10099" w:rsidP="00245165">
      <w:r>
        <w:t>„Discussion Paper des Monats“</w:t>
      </w:r>
    </w:p>
    <w:p w:rsidR="00A10099" w:rsidRDefault="00A10099" w:rsidP="00245165">
      <w:r>
        <w:t>EZB-Kommentare</w:t>
      </w:r>
    </w:p>
    <w:p w:rsidR="0098390F" w:rsidRDefault="0098390F" w:rsidP="00245165"/>
    <w:p w:rsidR="0098390F" w:rsidRDefault="0098390F" w:rsidP="00245165"/>
    <w:p w:rsidR="0098390F" w:rsidRDefault="0098390F" w:rsidP="00245165"/>
    <w:p w:rsidR="0098390F" w:rsidRDefault="0098390F" w:rsidP="00245165"/>
    <w:p w:rsidR="0098390F" w:rsidRDefault="0098390F" w:rsidP="0098390F">
      <w:pPr>
        <w:pStyle w:val="berschrift1"/>
      </w:pPr>
      <w:r>
        <w:t>Eingangsseite – Feinplanung</w:t>
      </w:r>
    </w:p>
    <w:p w:rsidR="0098390F" w:rsidRDefault="0098390F" w:rsidP="0098390F"/>
    <w:p w:rsidR="0098390F" w:rsidRDefault="0098390F" w:rsidP="0098390F"/>
    <w:p w:rsidR="0098390F" w:rsidRDefault="0098390F" w:rsidP="0098390F"/>
    <w:p w:rsidR="0098390F" w:rsidRDefault="0098390F" w:rsidP="0098390F">
      <w:r>
        <w:t>EZB-Transparenz</w:t>
      </w:r>
      <w:r w:rsidR="001D44CA">
        <w:t>-M</w:t>
      </w:r>
      <w:r>
        <w:t>onitor</w:t>
      </w:r>
    </w:p>
    <w:p w:rsidR="0098390F" w:rsidRDefault="0098390F" w:rsidP="0098390F"/>
    <w:p w:rsidR="0098390F" w:rsidRDefault="00637333" w:rsidP="0098390F">
      <w:r>
        <w:t>Ein Forschungsprojekt des ZEW – Leibniz-Zentrums für Europäische Wirtschaftsforschung mit Unterstützung der Stiftung Geld und Währung</w:t>
      </w:r>
    </w:p>
    <w:p w:rsidR="0098390F" w:rsidRDefault="0098390F" w:rsidP="0098390F"/>
    <w:p w:rsidR="0098390F" w:rsidRDefault="0098390F" w:rsidP="0098390F">
      <w:r>
        <w:t xml:space="preserve">Logo ZEW </w:t>
      </w:r>
      <w:r w:rsidR="009D3C82">
        <w:t xml:space="preserve">und </w:t>
      </w:r>
      <w:r>
        <w:t xml:space="preserve"> Logo Stiftung Geld und Währung</w:t>
      </w:r>
      <w:r w:rsidR="009D3C82">
        <w:t xml:space="preserve"> verwenden</w:t>
      </w:r>
    </w:p>
    <w:p w:rsidR="00637333" w:rsidRDefault="00637333" w:rsidP="0098390F"/>
    <w:p w:rsidR="0098390F" w:rsidRDefault="0098390F" w:rsidP="0098390F">
      <w:r w:rsidRPr="0098390F">
        <w:rPr>
          <w:noProof/>
          <w:lang w:eastAsia="de-DE"/>
        </w:rPr>
        <w:drawing>
          <wp:inline distT="0" distB="0" distL="0" distR="0">
            <wp:extent cx="3336925" cy="1146175"/>
            <wp:effectExtent l="0" t="0" r="0" b="0"/>
            <wp:docPr id="5" name="Grafik 5" descr="C:\Users\fhe\Dropbox\Friedrich\Kollektive Ordner\Stiftung GuW - Fiskalische Dominanz\EZB-Transparenzmonitor\Logo-SGu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he\Dropbox\Friedrich\Kollektive Ordner\Stiftung GuW - Fiskalische Dominanz\EZB-Transparenzmonitor\Logo-SGu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333" w:rsidRDefault="00637333" w:rsidP="0098390F"/>
    <w:p w:rsidR="00311788" w:rsidRDefault="00637333" w:rsidP="0098390F">
      <w:r w:rsidRPr="00311788">
        <w:rPr>
          <w:b/>
        </w:rPr>
        <w:t>Informationen zum Forschungsprojekt</w:t>
      </w:r>
      <w:r w:rsidR="00311788">
        <w:t xml:space="preserve"> (</w:t>
      </w:r>
      <w:r>
        <w:t xml:space="preserve">Hier Zugriff auf einen </w:t>
      </w:r>
      <w:r w:rsidR="00BB7086">
        <w:t xml:space="preserve">hinterlegten </w:t>
      </w:r>
      <w:r>
        <w:t>knappen Text zum Ziel und zur Methodik des Projekts</w:t>
      </w:r>
      <w:r w:rsidR="00BB7086">
        <w:t>)</w:t>
      </w:r>
      <w:r w:rsidR="00311788">
        <w:t xml:space="preserve">: </w:t>
      </w:r>
    </w:p>
    <w:p w:rsidR="009D3C82" w:rsidRDefault="00311788" w:rsidP="0098390F">
      <w:r>
        <w:t>„</w:t>
      </w:r>
      <w:r w:rsidR="001D44CA">
        <w:t xml:space="preserve">Der </w:t>
      </w:r>
      <w:proofErr w:type="gramStart"/>
      <w:r w:rsidR="001D44CA" w:rsidRPr="001D44CA">
        <w:t>EZB-Transparenz-Monitors</w:t>
      </w:r>
      <w:proofErr w:type="gramEnd"/>
      <w:r w:rsidR="001D44CA">
        <w:t xml:space="preserve"> informiert aus der unabhängigen wissenschaftlichen Perspektive </w:t>
      </w:r>
      <w:r w:rsidR="00BB7086">
        <w:t>des ZEW – Leibniz-Zentrums für Europäische Wirtschaftspolitik</w:t>
      </w:r>
      <w:r w:rsidR="001D44CA">
        <w:t xml:space="preserve"> über die EZB</w:t>
      </w:r>
      <w:r w:rsidR="009D3C82">
        <w:t xml:space="preserve"> </w:t>
      </w:r>
      <w:r w:rsidR="001D44CA">
        <w:t xml:space="preserve">und ihre </w:t>
      </w:r>
      <w:r w:rsidR="009D3C82">
        <w:t xml:space="preserve">geldpolitischen </w:t>
      </w:r>
      <w:r w:rsidR="001D44CA">
        <w:t>Entscheidungen</w:t>
      </w:r>
      <w:r w:rsidR="009D3C82">
        <w:t xml:space="preserve">. Der Monitor bietet einen leichten Zugriff auf wichtige ökonomische und fiskalische Daten zum aktuellen </w:t>
      </w:r>
      <w:r w:rsidR="00BB7086">
        <w:t xml:space="preserve">Umfeld </w:t>
      </w:r>
      <w:r w:rsidR="009D3C82">
        <w:t>der Geldpolitik</w:t>
      </w:r>
      <w:r w:rsidR="001D44CA">
        <w:t xml:space="preserve">. </w:t>
      </w:r>
      <w:r w:rsidR="009D3C82">
        <w:t>In jedem Quartal erfolgt die Publikation des EZB-Momentum-Indikators. Dieser KI-gestützte Indikator gibt Auskunft über die Botschaft aus den jüngsten Redebeiträgen von Mitgliedern des EZB-Rats. Er dient als Frühindikator, ob die EZB eher in eine expansive oder kontr</w:t>
      </w:r>
      <w:r w:rsidR="00BB7086">
        <w:t>aktiv</w:t>
      </w:r>
      <w:r w:rsidR="009D3C82">
        <w:t>e Richtung in ihren geldpolitischen Entscheidungen neigt.</w:t>
      </w:r>
      <w:r w:rsidR="00BB7086">
        <w:t xml:space="preserve"> Der EZB-Transparenz-Monitor richtet sich an Akteure in den Medien, der Finanzindustrie, der Politik und der interessierten Fachöffentlichkeit. </w:t>
      </w:r>
      <w:r w:rsidR="009D3C82">
        <w:t>“</w:t>
      </w:r>
    </w:p>
    <w:p w:rsidR="009D3C82" w:rsidRDefault="009D3C82" w:rsidP="0098390F"/>
    <w:p w:rsidR="00637333" w:rsidRDefault="00637333" w:rsidP="0098390F">
      <w:r>
        <w:t>Prominent</w:t>
      </w:r>
      <w:r w:rsidR="00311788">
        <w:t xml:space="preserve"> platzieren</w:t>
      </w:r>
      <w:r>
        <w:t>:</w:t>
      </w:r>
    </w:p>
    <w:p w:rsidR="00637333" w:rsidRDefault="00637333" w:rsidP="00311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EZB-</w:t>
      </w:r>
      <w:r w:rsidR="00ED7ECA">
        <w:t>ZEW-</w:t>
      </w:r>
      <w:r>
        <w:t xml:space="preserve">Momentum-Indikator – der aktuelle </w:t>
      </w:r>
      <w:r w:rsidR="00ED7ECA">
        <w:t>Quartals-</w:t>
      </w:r>
      <w:r>
        <w:t>Bericht</w:t>
      </w:r>
    </w:p>
    <w:p w:rsidR="00637333" w:rsidRDefault="00637333" w:rsidP="00311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 hat sich das geldpolitische Momentum in den Reden des EZB-Rats über die letzten Monate verändert. </w:t>
      </w:r>
    </w:p>
    <w:p w:rsidR="00637333" w:rsidRDefault="00BB7086" w:rsidP="0098390F">
      <w:r>
        <w:t>Prominent platzieren:</w:t>
      </w:r>
    </w:p>
    <w:p w:rsidR="00BB7086" w:rsidRDefault="00BB7086" w:rsidP="00250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ECB-Watching – der aktuelle Kommentar</w:t>
      </w:r>
    </w:p>
    <w:p w:rsidR="00BB7086" w:rsidRDefault="00BB7086" w:rsidP="00250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Hier nehmen Forschende und ECB-Watcher, die nicht für Notenbanken arbeiten, Stellung zu aktuellen geldpolitischen Fragestellungen.</w:t>
      </w:r>
    </w:p>
    <w:p w:rsidR="00BB7086" w:rsidRDefault="00BB7086" w:rsidP="0098390F"/>
    <w:p w:rsidR="00BB7086" w:rsidRDefault="00BB7086" w:rsidP="0098390F">
      <w:r>
        <w:t xml:space="preserve">Dann die Zugänge zu den </w:t>
      </w:r>
      <w:r w:rsidR="00250A20">
        <w:t>Service-</w:t>
      </w:r>
      <w:r>
        <w:t>Themenfeldern über die Quadrate</w:t>
      </w:r>
      <w:r w:rsidR="00BF6174">
        <w:t xml:space="preserve">, diese könnten wir so beschriften: </w:t>
      </w:r>
    </w:p>
    <w:p w:rsidR="00BB7086" w:rsidRPr="00BB7086" w:rsidRDefault="00E32072" w:rsidP="0098390F">
      <w:pPr>
        <w:rPr>
          <w:b/>
        </w:rPr>
      </w:pPr>
      <w:r>
        <w:rPr>
          <w:b/>
        </w:rPr>
        <w:t xml:space="preserve">Block 1: </w:t>
      </w:r>
      <w:r w:rsidR="00BB7086" w:rsidRPr="00BB7086">
        <w:rPr>
          <w:b/>
        </w:rPr>
        <w:t>Der EZB-Rat</w:t>
      </w:r>
    </w:p>
    <w:p w:rsidR="00BB7086" w:rsidRDefault="00BB7086" w:rsidP="0098390F">
      <w:r>
        <w:t>Biographisches der Mitglieder</w:t>
      </w:r>
    </w:p>
    <w:p w:rsidR="00BB7086" w:rsidRDefault="00BB7086" w:rsidP="0098390F">
      <w:r>
        <w:t>Tauben und Falken – KI-Scores</w:t>
      </w:r>
    </w:p>
    <w:p w:rsidR="00BB7086" w:rsidRDefault="00BB7086" w:rsidP="0098390F">
      <w:r>
        <w:t>Mehrheitsverhältnisse</w:t>
      </w:r>
    </w:p>
    <w:p w:rsidR="00BB7086" w:rsidRDefault="00BF6174" w:rsidP="0098390F">
      <w:r>
        <w:t>(dahinter dann neue Seite mit Lankarte?)</w:t>
      </w:r>
    </w:p>
    <w:p w:rsidR="00BF6174" w:rsidRDefault="00BF6174" w:rsidP="0098390F"/>
    <w:p w:rsidR="00BF6174" w:rsidRDefault="00BF6174" w:rsidP="0098390F"/>
    <w:p w:rsidR="00BF6174" w:rsidRDefault="00BF6174" w:rsidP="0098390F"/>
    <w:p w:rsidR="00BF6174" w:rsidRDefault="00BF6174" w:rsidP="0098390F"/>
    <w:p w:rsidR="00BB7086" w:rsidRPr="00BB7086" w:rsidRDefault="00E32072" w:rsidP="0098390F">
      <w:pPr>
        <w:rPr>
          <w:b/>
        </w:rPr>
      </w:pPr>
      <w:r>
        <w:rPr>
          <w:b/>
        </w:rPr>
        <w:t xml:space="preserve">Block 2: </w:t>
      </w:r>
      <w:r w:rsidR="00BB7086" w:rsidRPr="00BB7086">
        <w:rPr>
          <w:b/>
        </w:rPr>
        <w:t>Fakten zur EZB-Geldpolitik</w:t>
      </w:r>
    </w:p>
    <w:p w:rsidR="00BB7086" w:rsidRDefault="00BB7086" w:rsidP="0098390F">
      <w:r>
        <w:t>Leitzinsen</w:t>
      </w:r>
    </w:p>
    <w:p w:rsidR="00BB7086" w:rsidRDefault="00BB7086" w:rsidP="0098390F">
      <w:r>
        <w:t>Termine</w:t>
      </w:r>
    </w:p>
    <w:p w:rsidR="00BB7086" w:rsidRDefault="00BB7086" w:rsidP="0098390F">
      <w:r>
        <w:t>Wertpapierkäufe</w:t>
      </w:r>
    </w:p>
    <w:p w:rsidR="00BB7086" w:rsidRDefault="00BB7086" w:rsidP="0098390F"/>
    <w:p w:rsidR="00BF6174" w:rsidRDefault="00BF6174" w:rsidP="0098390F"/>
    <w:p w:rsidR="00BF6174" w:rsidRDefault="00BF6174" w:rsidP="0098390F"/>
    <w:p w:rsidR="00BB7086" w:rsidRPr="00BB7086" w:rsidRDefault="00E32072" w:rsidP="0098390F">
      <w:pPr>
        <w:rPr>
          <w:b/>
        </w:rPr>
      </w:pPr>
      <w:r>
        <w:rPr>
          <w:b/>
        </w:rPr>
        <w:t xml:space="preserve">Block 3: </w:t>
      </w:r>
      <w:r w:rsidR="00BB7086" w:rsidRPr="00BB7086">
        <w:rPr>
          <w:b/>
        </w:rPr>
        <w:t>Das fiskalische Umfeld</w:t>
      </w:r>
    </w:p>
    <w:p w:rsidR="00BB7086" w:rsidRDefault="00BB7086" w:rsidP="0098390F">
      <w:r>
        <w:t>Staatsverschuldung</w:t>
      </w:r>
    </w:p>
    <w:p w:rsidR="00BB7086" w:rsidRDefault="00BB7086" w:rsidP="0098390F">
      <w:r>
        <w:t>Haushaltsdefizite</w:t>
      </w:r>
    </w:p>
    <w:p w:rsidR="00BB7086" w:rsidRDefault="00BB7086" w:rsidP="0098390F">
      <w:r>
        <w:t>Schuldentragfähigkeit</w:t>
      </w:r>
    </w:p>
    <w:p w:rsidR="00E32072" w:rsidRDefault="00E32072" w:rsidP="0098390F"/>
    <w:p w:rsidR="00E32072" w:rsidRPr="008A20C8" w:rsidRDefault="00E32072" w:rsidP="0098390F">
      <w:pPr>
        <w:rPr>
          <w:b/>
          <w:highlight w:val="yellow"/>
        </w:rPr>
      </w:pPr>
      <w:r w:rsidRPr="008A20C8">
        <w:rPr>
          <w:b/>
          <w:highlight w:val="yellow"/>
        </w:rPr>
        <w:t>Präzise Liste mit Quellen:</w:t>
      </w:r>
    </w:p>
    <w:p w:rsidR="005E6F7E" w:rsidRPr="008A20C8" w:rsidRDefault="005E6F7E" w:rsidP="0098390F">
      <w:pPr>
        <w:rPr>
          <w:b/>
          <w:highlight w:val="yellow"/>
        </w:rPr>
      </w:pPr>
      <w:r w:rsidRPr="008A20C8">
        <w:rPr>
          <w:b/>
          <w:highlight w:val="yellow"/>
        </w:rPr>
        <w:t>AMECO: Datenbank der Europäischen Kommission. Wird zweimal jährlich im Frühjahr und Herbst mit der Kommissionsprognose aktualisiert, beinhaltet Prognosen. Frequenz: Monatlich; Aktualität bis Jahr +1 (Prognose).</w:t>
      </w:r>
    </w:p>
    <w:p w:rsidR="005E6F7E" w:rsidRPr="008A20C8" w:rsidRDefault="005E6F7E" w:rsidP="005E6F7E">
      <w:pPr>
        <w:rPr>
          <w:highlight w:val="yellow"/>
        </w:rPr>
      </w:pPr>
      <w:r w:rsidRPr="008A20C8">
        <w:rPr>
          <w:highlight w:val="yellow"/>
        </w:rPr>
        <w:t>AMECO Database, dort gibt es auch zipped txt csv xlsx files: hier die allgemeine Eingangsseite:</w:t>
      </w:r>
    </w:p>
    <w:p w:rsidR="005E6F7E" w:rsidRPr="008A20C8" w:rsidRDefault="005E6F7E" w:rsidP="005E6F7E">
      <w:pPr>
        <w:rPr>
          <w:highlight w:val="yellow"/>
        </w:rPr>
      </w:pPr>
      <w:hyperlink r:id="rId9" w:history="1">
        <w:r w:rsidRPr="008A20C8">
          <w:rPr>
            <w:rStyle w:val="Hyperlink"/>
            <w:highlight w:val="yellow"/>
          </w:rPr>
          <w:t>https://economy-finance.ec.europa.eu/economic-research-and-databases/economic-databases/ameco-database_en</w:t>
        </w:r>
      </w:hyperlink>
    </w:p>
    <w:p w:rsidR="005E6F7E" w:rsidRPr="008A20C8" w:rsidRDefault="005E6F7E" w:rsidP="005E6F7E">
      <w:pPr>
        <w:rPr>
          <w:highlight w:val="yellow"/>
        </w:rPr>
      </w:pPr>
      <w:r w:rsidRPr="008A20C8">
        <w:rPr>
          <w:highlight w:val="yellow"/>
        </w:rPr>
        <w:t>Hier der Zugang zur database:</w:t>
      </w:r>
    </w:p>
    <w:p w:rsidR="005E6F7E" w:rsidRPr="008A20C8" w:rsidRDefault="005E6F7E" w:rsidP="005E6F7E">
      <w:pPr>
        <w:rPr>
          <w:highlight w:val="yellow"/>
        </w:rPr>
      </w:pPr>
      <w:hyperlink r:id="rId10" w:history="1">
        <w:r w:rsidRPr="008A20C8">
          <w:rPr>
            <w:rStyle w:val="Hyperlink"/>
            <w:highlight w:val="yellow"/>
          </w:rPr>
          <w:t>https://dashboard.tech.ec.europa.eu/qs_digit_dashboard_mt/public/sense/app/667e9fba-eea7-4d17-abf0-ef20f6994336/sheet/f38b3b42-402c-44a8-9264-9d422233add2/state/analysis/</w:t>
        </w:r>
      </w:hyperlink>
    </w:p>
    <w:p w:rsidR="005E6F7E" w:rsidRPr="008A20C8" w:rsidRDefault="005E6F7E" w:rsidP="0098390F">
      <w:pPr>
        <w:rPr>
          <w:b/>
          <w:highlight w:val="yellow"/>
        </w:rPr>
      </w:pPr>
    </w:p>
    <w:p w:rsidR="005E6F7E" w:rsidRPr="008A20C8" w:rsidRDefault="005E6F7E" w:rsidP="0098390F">
      <w:pPr>
        <w:rPr>
          <w:b/>
          <w:highlight w:val="yellow"/>
        </w:rPr>
      </w:pPr>
    </w:p>
    <w:p w:rsidR="005E6F7E" w:rsidRPr="008A20C8" w:rsidRDefault="005E6F7E" w:rsidP="0098390F">
      <w:pPr>
        <w:rPr>
          <w:b/>
          <w:highlight w:val="yellow"/>
        </w:rPr>
      </w:pPr>
    </w:p>
    <w:p w:rsidR="005E6F7E" w:rsidRPr="008A20C8" w:rsidRDefault="005E6F7E" w:rsidP="0098390F">
      <w:pPr>
        <w:rPr>
          <w:b/>
          <w:highlight w:val="yellow"/>
        </w:rPr>
      </w:pPr>
    </w:p>
    <w:p w:rsidR="00C24BC2" w:rsidRPr="008A20C8" w:rsidRDefault="00E32072" w:rsidP="0098390F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>Öffentliche Schulden in % BIP:</w:t>
      </w:r>
    </w:p>
    <w:p w:rsidR="005E6F7E" w:rsidRPr="008A20C8" w:rsidRDefault="005E6F7E" w:rsidP="00E32072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Quelle: AMECO</w:t>
      </w:r>
    </w:p>
    <w:p w:rsidR="00C24BC2" w:rsidRPr="008A20C8" w:rsidRDefault="00C24BC2" w:rsidP="00E32072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Name der Variable: Gross Public Debt, Based on ESA 2010, UDGG, 18.1, unit: percentage of GDP at market prices (excessive deficit procedure)</w:t>
      </w:r>
    </w:p>
    <w:p w:rsidR="00E32072" w:rsidRPr="008A20C8" w:rsidRDefault="00E32072" w:rsidP="0098390F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>Haushaltsdefizit in % BIP</w:t>
      </w:r>
    </w:p>
    <w:p w:rsidR="00C24BC2" w:rsidRPr="008A20C8" w:rsidRDefault="005E6F7E" w:rsidP="00C24BC2">
      <w:pPr>
        <w:rPr>
          <w:highlight w:val="yellow"/>
        </w:rPr>
      </w:pPr>
      <w:r w:rsidRPr="008A20C8">
        <w:rPr>
          <w:highlight w:val="yellow"/>
        </w:rPr>
        <w:t>Quelle: AMECO</w:t>
      </w:r>
    </w:p>
    <w:p w:rsidR="00C24BC2" w:rsidRPr="008A20C8" w:rsidRDefault="00C24BC2" w:rsidP="00C24BC2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 xml:space="preserve">Name der Variable: </w:t>
      </w:r>
      <w:r w:rsidRPr="008A20C8">
        <w:rPr>
          <w:highlight w:val="yellow"/>
          <w:lang w:val="en-US"/>
        </w:rPr>
        <w:t>Net Lending (ESA 2010)</w:t>
      </w:r>
      <w:r w:rsidRPr="008A20C8">
        <w:rPr>
          <w:highlight w:val="yellow"/>
          <w:lang w:val="en-US"/>
        </w:rPr>
        <w:t xml:space="preserve">, </w:t>
      </w:r>
      <w:r w:rsidRPr="008A20C8">
        <w:rPr>
          <w:highlight w:val="yellow"/>
          <w:lang w:val="en-US"/>
        </w:rPr>
        <w:t>UBLG</w:t>
      </w:r>
      <w:r w:rsidRPr="008A20C8">
        <w:rPr>
          <w:highlight w:val="yellow"/>
          <w:lang w:val="en-US"/>
        </w:rPr>
        <w:t>, 1</w:t>
      </w:r>
      <w:r w:rsidRPr="008A20C8">
        <w:rPr>
          <w:highlight w:val="yellow"/>
          <w:lang w:val="en-US"/>
        </w:rPr>
        <w:t>6</w:t>
      </w:r>
      <w:r w:rsidRPr="008A20C8">
        <w:rPr>
          <w:highlight w:val="yellow"/>
          <w:lang w:val="en-US"/>
        </w:rPr>
        <w:t>.</w:t>
      </w:r>
      <w:r w:rsidRPr="008A20C8">
        <w:rPr>
          <w:highlight w:val="yellow"/>
          <w:lang w:val="en-US"/>
        </w:rPr>
        <w:t>3</w:t>
      </w:r>
      <w:r w:rsidRPr="008A20C8">
        <w:rPr>
          <w:highlight w:val="yellow"/>
          <w:lang w:val="en-US"/>
        </w:rPr>
        <w:t>, unit: percentage of GDP at market prices</w:t>
      </w:r>
      <w:r w:rsidRPr="008A20C8">
        <w:rPr>
          <w:highlight w:val="yellow"/>
          <w:lang w:val="en-US"/>
        </w:rPr>
        <w:t xml:space="preserve"> (excessive deficit procedure)</w:t>
      </w:r>
    </w:p>
    <w:p w:rsidR="00E32072" w:rsidRPr="008A20C8" w:rsidRDefault="00E32072" w:rsidP="0098390F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>Staatsquote</w:t>
      </w:r>
      <w:r w:rsidR="00C24BC2" w:rsidRPr="008A20C8">
        <w:rPr>
          <w:highlight w:val="yellow"/>
          <w:u w:val="single"/>
        </w:rPr>
        <w:t xml:space="preserve"> in % BIP</w:t>
      </w:r>
    </w:p>
    <w:p w:rsidR="005E6F7E" w:rsidRPr="008A20C8" w:rsidRDefault="005E6F7E" w:rsidP="005E6F7E">
      <w:pPr>
        <w:rPr>
          <w:highlight w:val="yellow"/>
        </w:rPr>
      </w:pPr>
      <w:r w:rsidRPr="008A20C8">
        <w:rPr>
          <w:highlight w:val="yellow"/>
        </w:rPr>
        <w:t>Quelle: AMECO</w:t>
      </w:r>
    </w:p>
    <w:p w:rsidR="005E6F7E" w:rsidRPr="008A20C8" w:rsidRDefault="005E6F7E" w:rsidP="005E6F7E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Name der Variable</w:t>
      </w:r>
      <w:r w:rsidRPr="008A20C8">
        <w:rPr>
          <w:highlight w:val="yellow"/>
          <w:lang w:val="en-US"/>
        </w:rPr>
        <w:t>: Total expenditure (TE)</w:t>
      </w:r>
      <w:r w:rsidRPr="008A20C8">
        <w:rPr>
          <w:highlight w:val="yellow"/>
          <w:lang w:val="en-US"/>
        </w:rPr>
        <w:t xml:space="preserve">, </w:t>
      </w:r>
      <w:r w:rsidRPr="008A20C8">
        <w:rPr>
          <w:highlight w:val="yellow"/>
          <w:lang w:val="en-US"/>
        </w:rPr>
        <w:t>UUTG</w:t>
      </w:r>
      <w:r w:rsidRPr="008A20C8">
        <w:rPr>
          <w:highlight w:val="yellow"/>
          <w:lang w:val="en-US"/>
        </w:rPr>
        <w:t>, 16.</w:t>
      </w:r>
      <w:r w:rsidRPr="008A20C8">
        <w:rPr>
          <w:highlight w:val="yellow"/>
          <w:lang w:val="en-US"/>
        </w:rPr>
        <w:t>2</w:t>
      </w:r>
      <w:r w:rsidRPr="008A20C8">
        <w:rPr>
          <w:highlight w:val="yellow"/>
          <w:lang w:val="en-US"/>
        </w:rPr>
        <w:t>, unit: percentage of GDP at market prices (excessive deficit procedure)</w:t>
      </w:r>
    </w:p>
    <w:p w:rsidR="00E32072" w:rsidRPr="008A20C8" w:rsidRDefault="00E32072" w:rsidP="0098390F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>Anteil Zinszahlungen an den Staatsausgaben</w:t>
      </w:r>
    </w:p>
    <w:p w:rsidR="005E6F7E" w:rsidRPr="008A20C8" w:rsidRDefault="005E6F7E" w:rsidP="005E6F7E">
      <w:pPr>
        <w:rPr>
          <w:highlight w:val="yellow"/>
        </w:rPr>
      </w:pPr>
      <w:r w:rsidRPr="008A20C8">
        <w:rPr>
          <w:highlight w:val="yellow"/>
        </w:rPr>
        <w:t>Quelle: AMECO</w:t>
      </w:r>
    </w:p>
    <w:p w:rsidR="005E6F7E" w:rsidRPr="008A20C8" w:rsidRDefault="005E6F7E" w:rsidP="005E6F7E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 xml:space="preserve">Name der Variable: </w:t>
      </w:r>
      <w:r w:rsidRPr="008A20C8">
        <w:rPr>
          <w:highlight w:val="yellow"/>
          <w:lang w:val="en-US"/>
        </w:rPr>
        <w:t>Interest</w:t>
      </w:r>
      <w:r w:rsidRPr="008A20C8">
        <w:rPr>
          <w:highlight w:val="yellow"/>
          <w:lang w:val="en-US"/>
        </w:rPr>
        <w:t xml:space="preserve"> </w:t>
      </w:r>
      <w:r w:rsidRPr="008A20C8">
        <w:rPr>
          <w:highlight w:val="yellow"/>
          <w:lang w:val="en-US"/>
        </w:rPr>
        <w:t>D41p)</w:t>
      </w:r>
      <w:r w:rsidRPr="008A20C8">
        <w:rPr>
          <w:highlight w:val="yellow"/>
          <w:lang w:val="en-US"/>
        </w:rPr>
        <w:t xml:space="preserve">, </w:t>
      </w:r>
      <w:r w:rsidRPr="008A20C8">
        <w:rPr>
          <w:highlight w:val="yellow"/>
          <w:lang w:val="en-US"/>
        </w:rPr>
        <w:t>UYIG</w:t>
      </w:r>
      <w:r w:rsidRPr="008A20C8">
        <w:rPr>
          <w:highlight w:val="yellow"/>
          <w:lang w:val="en-US"/>
        </w:rPr>
        <w:t>, 16.2, unit: percentage of GDP at market prices (excessive deficit procedure)</w:t>
      </w:r>
    </w:p>
    <w:p w:rsidR="00C24BC2" w:rsidRPr="008A20C8" w:rsidRDefault="00A9168C" w:rsidP="00C24BC2">
      <w:pPr>
        <w:rPr>
          <w:highlight w:val="yellow"/>
          <w:u w:val="single"/>
        </w:rPr>
      </w:pPr>
      <w:r w:rsidRPr="008A20C8">
        <w:rPr>
          <w:highlight w:val="yellow"/>
          <w:u w:val="single"/>
        </w:rPr>
        <w:t xml:space="preserve">Rendite </w:t>
      </w:r>
      <w:r w:rsidR="00C24BC2" w:rsidRPr="008A20C8">
        <w:rPr>
          <w:highlight w:val="yellow"/>
          <w:u w:val="single"/>
        </w:rPr>
        <w:t>Staatsanleihen</w:t>
      </w:r>
      <w:r w:rsidRPr="008A20C8">
        <w:rPr>
          <w:highlight w:val="yellow"/>
          <w:u w:val="single"/>
        </w:rPr>
        <w:t xml:space="preserve"> Laufzeit 10 Jahre</w:t>
      </w:r>
    </w:p>
    <w:p w:rsidR="008A20C8" w:rsidRPr="008A20C8" w:rsidRDefault="008A20C8" w:rsidP="0098390F">
      <w:pPr>
        <w:rPr>
          <w:b/>
          <w:highlight w:val="yellow"/>
        </w:rPr>
      </w:pPr>
      <w:r w:rsidRPr="008A20C8">
        <w:rPr>
          <w:b/>
          <w:highlight w:val="yellow"/>
        </w:rPr>
        <w:t>EZB und Eurostat bieten die identische Variable unter etwas anderen Namen an, am besten dort zugreifen, wo es technisch leichter ist.</w:t>
      </w:r>
    </w:p>
    <w:p w:rsidR="005E6F7E" w:rsidRPr="008A20C8" w:rsidRDefault="005E6F7E" w:rsidP="0098390F">
      <w:pPr>
        <w:rPr>
          <w:b/>
          <w:highlight w:val="yellow"/>
        </w:rPr>
      </w:pPr>
      <w:r w:rsidRPr="008A20C8">
        <w:rPr>
          <w:b/>
          <w:highlight w:val="yellow"/>
        </w:rPr>
        <w:t>Quelle EZB</w:t>
      </w:r>
    </w:p>
    <w:p w:rsidR="00A9168C" w:rsidRPr="008A20C8" w:rsidRDefault="00A9168C" w:rsidP="0098390F">
      <w:pPr>
        <w:rPr>
          <w:b/>
          <w:highlight w:val="yellow"/>
        </w:rPr>
      </w:pPr>
      <w:hyperlink r:id="rId11" w:history="1">
        <w:r w:rsidRPr="008A20C8">
          <w:rPr>
            <w:rStyle w:val="Hyperlink"/>
            <w:b/>
            <w:highlight w:val="yellow"/>
          </w:rPr>
          <w:t>https://www.ecb.europa.eu/stats/financial_markets_and_interest_rates/long_term_interest_rates/html/index.en.html</w:t>
        </w:r>
      </w:hyperlink>
    </w:p>
    <w:p w:rsidR="00A9168C" w:rsidRPr="008A20C8" w:rsidRDefault="00A9168C" w:rsidP="0098390F">
      <w:pPr>
        <w:rPr>
          <w:b/>
          <w:highlight w:val="yellow"/>
        </w:rPr>
      </w:pPr>
      <w:r w:rsidRPr="008A20C8">
        <w:rPr>
          <w:b/>
          <w:highlight w:val="yellow"/>
        </w:rPr>
        <w:t>Quelle Eurostat</w:t>
      </w:r>
    </w:p>
    <w:p w:rsidR="00A9168C" w:rsidRPr="008A20C8" w:rsidRDefault="00A9168C" w:rsidP="0098390F">
      <w:pPr>
        <w:rPr>
          <w:b/>
          <w:highlight w:val="yellow"/>
        </w:rPr>
      </w:pPr>
      <w:hyperlink r:id="rId12" w:history="1">
        <w:r w:rsidRPr="008A20C8">
          <w:rPr>
            <w:rStyle w:val="Hyperlink"/>
            <w:b/>
            <w:highlight w:val="yellow"/>
          </w:rPr>
          <w:t>https://ec.europa.eu/eurostat/databrowser/view/teimf050/default/table?lang=en</w:t>
        </w:r>
      </w:hyperlink>
    </w:p>
    <w:p w:rsidR="005E6F7E" w:rsidRPr="008A20C8" w:rsidRDefault="00A9168C" w:rsidP="0098390F">
      <w:pPr>
        <w:rPr>
          <w:b/>
          <w:highlight w:val="yellow"/>
        </w:rPr>
      </w:pPr>
      <w:r w:rsidRPr="008A20C8">
        <w:rPr>
          <w:b/>
          <w:highlight w:val="yellow"/>
        </w:rPr>
        <w:t>Monatlich; Aktualität: Letzer Monat</w:t>
      </w:r>
    </w:p>
    <w:p w:rsidR="00A9168C" w:rsidRPr="008A20C8" w:rsidRDefault="00A9168C" w:rsidP="00A9168C">
      <w:pPr>
        <w:rPr>
          <w:highlight w:val="yellow"/>
        </w:rPr>
      </w:pPr>
      <w:r w:rsidRPr="008A20C8">
        <w:rPr>
          <w:highlight w:val="yellow"/>
        </w:rPr>
        <w:t xml:space="preserve">Name der Variable: </w:t>
      </w:r>
    </w:p>
    <w:p w:rsidR="00A9168C" w:rsidRPr="008A20C8" w:rsidRDefault="00A9168C" w:rsidP="00A9168C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 xml:space="preserve">ECB: </w:t>
      </w:r>
      <w:r w:rsidRPr="008A20C8">
        <w:rPr>
          <w:highlight w:val="yellow"/>
          <w:lang w:val="en-US"/>
        </w:rPr>
        <w:t>Harmonised long-term interest rates for convergence assessment purposes</w:t>
      </w:r>
    </w:p>
    <w:p w:rsidR="00A9168C" w:rsidRPr="008A20C8" w:rsidRDefault="00A9168C" w:rsidP="00A9168C">
      <w:pPr>
        <w:rPr>
          <w:highlight w:val="yellow"/>
          <w:lang w:val="en-US"/>
        </w:rPr>
      </w:pPr>
      <w:r w:rsidRPr="008A20C8">
        <w:rPr>
          <w:highlight w:val="yellow"/>
          <w:lang w:val="en-US"/>
        </w:rPr>
        <w:t>(</w:t>
      </w:r>
      <w:proofErr w:type="gramStart"/>
      <w:r w:rsidRPr="008A20C8">
        <w:rPr>
          <w:highlight w:val="yellow"/>
          <w:lang w:val="en-US"/>
        </w:rPr>
        <w:t>percentages</w:t>
      </w:r>
      <w:proofErr w:type="gramEnd"/>
      <w:r w:rsidRPr="008A20C8">
        <w:rPr>
          <w:highlight w:val="yellow"/>
          <w:lang w:val="en-US"/>
        </w:rPr>
        <w:t xml:space="preserve"> per annum; period averages; secondary market yields of government bonds with maturities of close to ten years)</w:t>
      </w:r>
    </w:p>
    <w:p w:rsidR="00A9168C" w:rsidRPr="00A9168C" w:rsidRDefault="00A9168C" w:rsidP="0098390F">
      <w:pPr>
        <w:rPr>
          <w:lang w:val="en-US"/>
        </w:rPr>
      </w:pPr>
      <w:r w:rsidRPr="008A20C8">
        <w:rPr>
          <w:highlight w:val="yellow"/>
          <w:lang w:val="en-US"/>
        </w:rPr>
        <w:t>Eurostat: Long term government bond yields</w:t>
      </w:r>
    </w:p>
    <w:p w:rsidR="00E32072" w:rsidRDefault="00E32072" w:rsidP="0098390F"/>
    <w:p w:rsidR="00E32072" w:rsidRDefault="00E32072" w:rsidP="0098390F"/>
    <w:p w:rsidR="00BB7086" w:rsidRDefault="00BB7086" w:rsidP="0098390F"/>
    <w:p w:rsidR="00BB7086" w:rsidRPr="00BB7086" w:rsidRDefault="00E32072" w:rsidP="0098390F">
      <w:pPr>
        <w:rPr>
          <w:b/>
        </w:rPr>
      </w:pPr>
      <w:r>
        <w:rPr>
          <w:b/>
        </w:rPr>
        <w:t xml:space="preserve">Block 4: </w:t>
      </w:r>
      <w:r w:rsidR="00BB7086" w:rsidRPr="00BB7086">
        <w:rPr>
          <w:b/>
        </w:rPr>
        <w:t>Das ökonomische Umfeld</w:t>
      </w:r>
    </w:p>
    <w:p w:rsidR="00BB7086" w:rsidRDefault="00BB7086" w:rsidP="0098390F">
      <w:r>
        <w:t>Inflation</w:t>
      </w:r>
    </w:p>
    <w:p w:rsidR="00BB7086" w:rsidRDefault="00BB7086" w:rsidP="0098390F">
      <w:r>
        <w:t>Wachstum</w:t>
      </w:r>
    </w:p>
    <w:p w:rsidR="00BB7086" w:rsidRDefault="00BB7086" w:rsidP="0098390F">
      <w:r>
        <w:t>Konjunktur</w:t>
      </w:r>
    </w:p>
    <w:p w:rsidR="00BB7086" w:rsidRDefault="00BB7086" w:rsidP="0098390F"/>
    <w:p w:rsidR="00250A20" w:rsidRPr="002410F0" w:rsidRDefault="00E32072" w:rsidP="0098390F">
      <w:pPr>
        <w:rPr>
          <w:b/>
        </w:rPr>
      </w:pPr>
      <w:r>
        <w:rPr>
          <w:b/>
        </w:rPr>
        <w:t xml:space="preserve">Block 5: </w:t>
      </w:r>
      <w:r w:rsidR="002410F0" w:rsidRPr="002410F0">
        <w:rPr>
          <w:b/>
        </w:rPr>
        <w:t>Einsichten Wissenschaft</w:t>
      </w:r>
    </w:p>
    <w:p w:rsidR="002410F0" w:rsidRDefault="00ED7ECA" w:rsidP="0098390F">
      <w:r>
        <w:t>Neue Einblicke aus der Forschung</w:t>
      </w:r>
    </w:p>
    <w:p w:rsidR="002410F0" w:rsidRDefault="002410F0" w:rsidP="0098390F"/>
    <w:p w:rsidR="00BB7086" w:rsidRDefault="00BB7086" w:rsidP="0098390F"/>
    <w:p w:rsidR="00BB7086" w:rsidRDefault="00BB7086" w:rsidP="0098390F"/>
    <w:p w:rsidR="00BB7086" w:rsidRPr="0098390F" w:rsidRDefault="00BB7086" w:rsidP="0098390F"/>
    <w:sectPr w:rsidR="00BB7086" w:rsidRPr="009839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00BE0"/>
    <w:multiLevelType w:val="hybridMultilevel"/>
    <w:tmpl w:val="A0F8ED4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13CB1"/>
    <w:multiLevelType w:val="hybridMultilevel"/>
    <w:tmpl w:val="3734275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310B37"/>
    <w:multiLevelType w:val="hybridMultilevel"/>
    <w:tmpl w:val="A55E89B8"/>
    <w:lvl w:ilvl="0" w:tplc="86C24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B62C3"/>
    <w:multiLevelType w:val="hybridMultilevel"/>
    <w:tmpl w:val="36167CB4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165"/>
    <w:rsid w:val="00091DA0"/>
    <w:rsid w:val="00145ABD"/>
    <w:rsid w:val="00176811"/>
    <w:rsid w:val="001B51BD"/>
    <w:rsid w:val="001D44CA"/>
    <w:rsid w:val="002410F0"/>
    <w:rsid w:val="00245165"/>
    <w:rsid w:val="00250A20"/>
    <w:rsid w:val="00277296"/>
    <w:rsid w:val="00311788"/>
    <w:rsid w:val="00327967"/>
    <w:rsid w:val="00365CF1"/>
    <w:rsid w:val="003765AB"/>
    <w:rsid w:val="003B67FB"/>
    <w:rsid w:val="00432136"/>
    <w:rsid w:val="00517C33"/>
    <w:rsid w:val="005E6F7E"/>
    <w:rsid w:val="00637333"/>
    <w:rsid w:val="0065099D"/>
    <w:rsid w:val="00664E93"/>
    <w:rsid w:val="006B4E9E"/>
    <w:rsid w:val="007A5B63"/>
    <w:rsid w:val="00833670"/>
    <w:rsid w:val="008A20C8"/>
    <w:rsid w:val="00917EDD"/>
    <w:rsid w:val="0098390F"/>
    <w:rsid w:val="009D3C82"/>
    <w:rsid w:val="00A10099"/>
    <w:rsid w:val="00A83D10"/>
    <w:rsid w:val="00A9168C"/>
    <w:rsid w:val="00B751E8"/>
    <w:rsid w:val="00BB7086"/>
    <w:rsid w:val="00BF6174"/>
    <w:rsid w:val="00C03704"/>
    <w:rsid w:val="00C24BC2"/>
    <w:rsid w:val="00D143DE"/>
    <w:rsid w:val="00D9639C"/>
    <w:rsid w:val="00E32072"/>
    <w:rsid w:val="00ED7ECA"/>
    <w:rsid w:val="00F4539D"/>
    <w:rsid w:val="00F80A04"/>
    <w:rsid w:val="00F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49147-1A8F-4B2B-BB47-8BFFDCB4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45165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451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453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c.europa.eu/eurostat/databrowser/view/teimf050/default/table?lang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b.europa.eu/services/using-our-site/disclaimer/html/index.en.html" TargetMode="External"/><Relationship Id="rId11" Type="http://schemas.openxmlformats.org/officeDocument/2006/relationships/hyperlink" Target="https://www.ecb.europa.eu/stats/financial_markets_and_interest_rates/long_term_interest_rates/html/index.en.html" TargetMode="External"/><Relationship Id="rId5" Type="http://schemas.openxmlformats.org/officeDocument/2006/relationships/hyperlink" Target="https://ec.europa.eu/eurostat/de/web/main/help/copyright-notice" TargetMode="External"/><Relationship Id="rId10" Type="http://schemas.openxmlformats.org/officeDocument/2006/relationships/hyperlink" Target="https://dashboard.tech.ec.europa.eu/qs_digit_dashboard_mt/public/sense/app/667e9fba-eea7-4d17-abf0-ef20f6994336/sheet/f38b3b42-402c-44a8-9264-9d422233add2/state/analys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onomy-finance.ec.europa.eu/economic-research-and-databases/economic-databases/ameco-database_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1023</Words>
  <Characters>6449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 GmbH</Company>
  <LinksUpToDate>false</LinksUpToDate>
  <CharactersWithSpaces>7458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Heinemann, Friedrich</dc:creator>
  <cp:keywords/>
  <dc:description/>
  <cp:lastModifiedBy>Heinemann, Friedrich</cp:lastModifiedBy>
  <cp:revision>12</cp:revision>
  <dcterms:created xsi:type="dcterms:W3CDTF">2025-10-21T10:08:00Z</dcterms:created>
  <dcterms:modified xsi:type="dcterms:W3CDTF">2025-10-23T14:31:00Z</dcterms:modified>
</cp:coreProperties>
</file>