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46B8F" w14:textId="77777777" w:rsidR="00C2692F" w:rsidRDefault="00C2692F">
      <w:pPr>
        <w:pStyle w:val="Text"/>
        <w:ind w:firstLine="0"/>
        <w:rPr>
          <w:sz w:val="2"/>
          <w:szCs w:val="18"/>
        </w:rPr>
      </w:pPr>
      <w:r>
        <w:rPr>
          <w:sz w:val="2"/>
          <w:szCs w:val="18"/>
        </w:rPr>
        <w:footnoteReference w:customMarkFollows="1" w:id="1"/>
        <w:sym w:font="Symbol" w:char="F020"/>
      </w:r>
    </w:p>
    <w:p w14:paraId="42B6667F" w14:textId="6E8E39EB" w:rsidR="00C566E3" w:rsidRPr="00292AD5" w:rsidRDefault="00C566E3" w:rsidP="00C566E3">
      <w:pPr>
        <w:framePr w:w="9360" w:hSpace="187" w:vSpace="187" w:wrap="notBeside" w:vAnchor="text" w:hAnchor="page" w:xAlign="center" w:y="1" w:anchorLock="1"/>
        <w:jc w:val="center"/>
        <w:rPr>
          <w:b/>
          <w:bCs/>
          <w:sz w:val="32"/>
          <w:szCs w:val="32"/>
        </w:rPr>
      </w:pPr>
      <w:r w:rsidRPr="00292AD5">
        <w:rPr>
          <w:b/>
          <w:bCs/>
          <w:sz w:val="32"/>
          <w:szCs w:val="32"/>
        </w:rPr>
        <w:t xml:space="preserve">An efficient pipeline for </w:t>
      </w:r>
      <w:r w:rsidR="00292AD5">
        <w:rPr>
          <w:b/>
          <w:bCs/>
          <w:sz w:val="32"/>
          <w:szCs w:val="32"/>
        </w:rPr>
        <w:t>biophysical modeling</w:t>
      </w:r>
      <w:r w:rsidRPr="00292AD5">
        <w:rPr>
          <w:b/>
          <w:bCs/>
          <w:sz w:val="32"/>
          <w:szCs w:val="32"/>
        </w:rPr>
        <w:t xml:space="preserve"> of neurons</w:t>
      </w:r>
    </w:p>
    <w:p w14:paraId="19605A13" w14:textId="4B94A1A3" w:rsidR="00C2692F" w:rsidRPr="00E16811" w:rsidRDefault="00E16811" w:rsidP="00E16811">
      <w:pPr>
        <w:framePr w:w="9072" w:hSpace="187" w:vSpace="187" w:wrap="notBeside" w:vAnchor="text" w:hAnchor="page" w:x="1614" w:y="1"/>
        <w:jc w:val="center"/>
        <w:rPr>
          <w:sz w:val="24"/>
          <w:szCs w:val="24"/>
        </w:rPr>
      </w:pPr>
      <w:r>
        <w:rPr>
          <w:sz w:val="24"/>
          <w:szCs w:val="24"/>
        </w:rPr>
        <w:t>Nathaniel Opsal, Pete Canfield, Tyler Banks</w:t>
      </w:r>
      <w:r w:rsidRPr="000723A4">
        <w:rPr>
          <w:sz w:val="24"/>
          <w:szCs w:val="24"/>
        </w:rPr>
        <w:t>, and Satish S. Nair</w:t>
      </w:r>
      <w:r w:rsidR="00C2692F">
        <w:t>,</w:t>
      </w:r>
      <w:r>
        <w:t xml:space="preserve"> </w:t>
      </w:r>
      <w:r>
        <w:rPr>
          <w:rStyle w:val="MemberType"/>
        </w:rPr>
        <w:t>Senior M</w:t>
      </w:r>
      <w:r w:rsidR="00C2692F">
        <w:rPr>
          <w:rStyle w:val="MemberType"/>
        </w:rPr>
        <w:t>ember, IEEE</w:t>
      </w:r>
    </w:p>
    <w:p w14:paraId="206C4DAA" w14:textId="5F033D3A" w:rsidR="00C2692F" w:rsidRPr="00C566E3" w:rsidRDefault="00C2692F" w:rsidP="00C566E3">
      <w:pPr>
        <w:rPr>
          <w:sz w:val="24"/>
          <w:szCs w:val="24"/>
        </w:rPr>
      </w:pPr>
      <w:r>
        <w:rPr>
          <w:i/>
          <w:iCs/>
        </w:rPr>
        <w:t>Abstract</w:t>
      </w:r>
      <w:r>
        <w:t>—</w:t>
      </w:r>
      <w:r w:rsidRPr="00B32A40">
        <w:t xml:space="preserve"> </w:t>
      </w:r>
      <w:r w:rsidR="00C566E3" w:rsidRPr="00C566E3">
        <w:rPr>
          <w:b/>
          <w:bCs/>
          <w:sz w:val="18"/>
          <w:szCs w:val="18"/>
        </w:rPr>
        <w:t>Automation of the process of developing biophysical conductance-based neuronal models involves the selection of numerous interacting parameters, making the overall process computationally intensive, complex and often intractable. A recent insight about the possible grouping of currents into distinct modules associated with specific neurocomputational properties also simplifies the process of automated selection of parameters. The present paper adds a new current module to the previous report to design spike frequency adaptation and bursting characteristics, based on user specifications. We then show how our proposed grouping of currents into modules facilitates the development of a pipeline that automates the biophysical modeling of single neurons that exhibit multiple neurocomputational properties. The software will be made available for public download via our site cyneuro.org.</w:t>
      </w:r>
    </w:p>
    <w:p w14:paraId="75EC4686" w14:textId="77777777" w:rsidR="00C2692F" w:rsidRDefault="00C2692F" w:rsidP="00C2692F">
      <w:pPr>
        <w:pStyle w:val="Heading1"/>
        <w:spacing w:before="120" w:after="120"/>
      </w:pPr>
      <w:r>
        <w:t>I</w:t>
      </w:r>
      <w:r>
        <w:rPr>
          <w:sz w:val="16"/>
          <w:szCs w:val="16"/>
        </w:rPr>
        <w:t>NTRODUCTION</w:t>
      </w:r>
    </w:p>
    <w:p w14:paraId="35BC07D3" w14:textId="18A2D863" w:rsidR="00C566E3" w:rsidRPr="00C566E3" w:rsidRDefault="0044077C" w:rsidP="00C566E3">
      <w:r>
        <w:tab/>
      </w:r>
      <w:r w:rsidR="00C566E3" w:rsidRPr="00C566E3">
        <w:t xml:space="preserve">Computational models of single neurons utilize a variety of formulations depending on the application. One such formulation, biophysical conductance-based model can provide improved realism in network models when investigating phenomena such as neuronal oscillations. Present single cell models have compartments varying from one in reduced order cells to over 1000 in morphologically complex cell models. Large neuronal network models typically use reduced order models of single cells to limit both computational overheads and parametric uncertainties. However, in such cases, it is important that the reduced order model neuron possess key neurocomputational properties including passive properties, current injection responses as well as possibly complex oscillatory dynamics. We had previously hypothesized and successfully tested the hypothesis that in a single neuron, different sets of current modules might be responsible for neurocomputational properties such as passive properties (resting potential, time constant and input resistance), sub-threshold oscillations, and spike waveforms </w:t>
      </w:r>
      <w:r w:rsidR="00C566E3"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00C566E3" w:rsidRPr="00C566E3">
        <w:instrText xml:space="preserve"> ADDIN EN.CITE </w:instrText>
      </w:r>
      <w:r w:rsidR="00C566E3"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00C566E3" w:rsidRPr="00C566E3">
        <w:instrText xml:space="preserve"> ADDIN EN.CITE.DATA </w:instrText>
      </w:r>
      <w:r w:rsidR="00C566E3" w:rsidRPr="00C566E3">
        <w:fldChar w:fldCharType="end"/>
      </w:r>
      <w:r w:rsidR="00C566E3" w:rsidRPr="00C566E3">
        <w:fldChar w:fldCharType="separate"/>
      </w:r>
      <w:r w:rsidR="00C566E3" w:rsidRPr="00C566E3">
        <w:rPr>
          <w:noProof/>
        </w:rPr>
        <w:t>[1]</w:t>
      </w:r>
      <w:r w:rsidR="00C566E3" w:rsidRPr="00C566E3">
        <w:fldChar w:fldCharType="end"/>
      </w:r>
      <w:r w:rsidR="00C566E3" w:rsidRPr="00C566E3">
        <w:t xml:space="preserve">. Furthermore, the hypothesis naturally suggested an approach, termed the ‘segregation method’, that was shown to facilitate the selection of single cell model parameters and to simplify the overall design. Such a simplification in design facilitates automation of the process of optimizing the numerous parameters associated with Hodgkin-Huxley formulations in the biophysical conductance-based models of single neurons. </w:t>
      </w:r>
    </w:p>
    <w:p w14:paraId="7AAFF509" w14:textId="16998B31" w:rsidR="00C2692F" w:rsidRDefault="00C566E3" w:rsidP="00C566E3">
      <w:pPr>
        <w:tabs>
          <w:tab w:val="left" w:pos="360"/>
        </w:tabs>
      </w:pPr>
      <w:r w:rsidRPr="00C566E3">
        <w:tab/>
        <w:t xml:space="preserve">Here we first extend the types of neurocomputational properties reported in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t xml:space="preserve"> to include spike frequency adaptation and bursting. As a second contribution, we propose a pipeline to automate the design process using a recently reported machine learning scheme that includes Bayesian and fully connected neural network modules (simulation-based inference, </w:t>
      </w:r>
      <w:proofErr w:type="spellStart"/>
      <w:r w:rsidRPr="00C566E3">
        <w:t>sbi</w:t>
      </w:r>
      <w:proofErr w:type="spellEnd"/>
      <w:r w:rsidRPr="00C566E3">
        <w:t xml:space="preserve">; </w:t>
      </w:r>
      <w:r w:rsidRPr="00C566E3">
        <w:fldChar w:fldCharType="begin"/>
      </w:r>
      <w:r w:rsidRPr="00C566E3">
        <w:instrText xml:space="preserve"> ADDIN EN.CITE &lt;EndNote&gt;&lt;Cite&gt;&lt;Author&gt;Gonçalves&lt;/Author&gt;&lt;Year&gt;2020&lt;/Year&gt;&lt;RecNum&gt;5463&lt;/RecNum&gt;&lt;DisplayText&gt;[2]&lt;/DisplayText&gt;&lt;record&gt;&lt;rec-number&gt;5463&lt;/rec-number&gt;&lt;foreign-keys&gt;&lt;key app="EN" db-id="wadfdsrz59rdaae9xsp59eaife9etwspvrz5" timestamp="1605504476"&gt;5463&lt;/key&gt;&lt;/foreign-keys&gt;&lt;ref-type name="Journal Article"&gt;17&lt;/ref-type&gt;&lt;contributors&gt;&lt;authors&gt;&lt;author&gt;Gonçalves, Pedro J.&lt;/author&gt;&lt;author&gt;Lueckmann, Jan-Matthis&lt;/author&gt;&lt;author&gt;Deistler, Michael&lt;/author&gt;&lt;author&gt;Nonnenmacher, Marcel&lt;/author&gt;&lt;author&gt;Öcal, Kaan&lt;/author&gt;&lt;author&gt;Bassetto, Giacomo&lt;/author&gt;&lt;author&gt;Chintaluri, Chaitanya&lt;/author&gt;&lt;author&gt;Podlaski, William F.&lt;/author&gt;&lt;author&gt;Haddad, Sara A.&lt;/author&gt;&lt;author&gt;Vogels, Tim P.&lt;/author&gt;&lt;author&gt;Greenberg, David S.&lt;/author&gt;&lt;author&gt;Macke, Jakob H.&lt;/author&gt;&lt;/authors&gt;&lt;secondary-authors&gt;&lt;author&gt;Huguenard, John R.&lt;/author&gt;&lt;author&gt;O&amp;apos;Leary, Timothy&lt;/author&gt;&lt;author&gt;Goldman, Mark S.&lt;/author&gt;&lt;/secondary-authors&gt;&lt;/contributors&gt;&lt;titles&gt;&lt;title&gt;Training deep neural density estimators to identify mechanistic models of neural dynamics&lt;/title&gt;&lt;secondary-title&gt;eLife&lt;/secondary-title&gt;&lt;/titles&gt;&lt;pages&gt;e56261&lt;/pages&gt;&lt;volume&gt;9&lt;/volume&gt;&lt;keywords&gt;&lt;keyword&gt;bayesian inference&lt;/keyword&gt;&lt;keyword&gt;deep learning&lt;/keyword&gt;&lt;keyword&gt;stomatogastric ganglion&lt;/keyword&gt;&lt;keyword&gt;model identification&lt;/keyword&gt;&lt;keyword&gt;neural dynamics&lt;/keyword&gt;&lt;keyword&gt;mechanistic models&lt;/keyword&gt;&lt;/keywords&gt;&lt;dates&gt;&lt;year&gt;2020&lt;/year&gt;&lt;pub-dates&gt;&lt;date&gt;2020/09/17&lt;/date&gt;&lt;/pub-dates&gt;&lt;/dates&gt;&lt;publisher&gt;eLife Sciences Publications, Ltd&lt;/publisher&gt;&lt;isbn&gt;2050-084X&lt;/isbn&gt;&lt;urls&gt;&lt;related-urls&gt;&lt;url&gt;https://doi.org/10.7554/eLife.56261&lt;/url&gt;&lt;/related-urls&gt;&lt;/urls&gt;&lt;custom1&gt;eLife 2020;9:e56261&lt;/custom1&gt;&lt;electronic-resource-num&gt;10.7554/eLife.56261&lt;/electronic-resource-num&gt;&lt;/record&gt;&lt;/Cite&gt;&lt;/EndNote&gt;</w:instrText>
      </w:r>
      <w:r w:rsidRPr="00C566E3">
        <w:fldChar w:fldCharType="separate"/>
      </w:r>
      <w:r w:rsidRPr="00C566E3">
        <w:rPr>
          <w:noProof/>
        </w:rPr>
        <w:t>[2]</w:t>
      </w:r>
      <w:r w:rsidRPr="00C566E3">
        <w:fldChar w:fldCharType="end"/>
      </w:r>
      <w:r w:rsidRPr="00C566E3">
        <w:t>). We illustrate the proposed scheme using an example of a pyramidal neuron in the CA3 region of the hippocampus that responds to stimuli with a rapidly adaptive burst waveform that then reduces to tonic spiking or to a continuously bursting phenotype, both of which are commonly found neural signatures. We then show that such a waveform output of CA3 neurons plays an important role in the generation of theta oscillations in the model hippocampal network. The goal is to develop a publicly accessible software tool that automates the process of designing a single cell using the segregation approach.</w:t>
      </w:r>
      <w:r w:rsidR="00C2692F" w:rsidRPr="005B520E">
        <w:t xml:space="preserve"> </w:t>
      </w:r>
    </w:p>
    <w:p w14:paraId="4B58556A" w14:textId="5E5FFC1F" w:rsidR="00C2692F" w:rsidRDefault="00C566E3" w:rsidP="00C2692F">
      <w:pPr>
        <w:pStyle w:val="Heading1"/>
        <w:spacing w:before="120" w:after="120"/>
      </w:pPr>
      <w:r>
        <w:t>Method</w:t>
      </w:r>
    </w:p>
    <w:p w14:paraId="18DF02DB" w14:textId="3A541DB0" w:rsidR="00C566E3" w:rsidRPr="00C566E3" w:rsidRDefault="00C566E3" w:rsidP="00C566E3">
      <w:pPr>
        <w:pStyle w:val="BodyText"/>
      </w:pPr>
      <w:r w:rsidRPr="00C566E3">
        <w:rPr>
          <w:bCs/>
        </w:rPr>
        <w:t xml:space="preserve">Models of single neurons were developed </w:t>
      </w:r>
      <w:r w:rsidRPr="00C566E3">
        <w:rPr>
          <w:bCs/>
          <w:lang w:val="en-AU"/>
        </w:rPr>
        <w:t xml:space="preserve">using experimental parameters from our collaborators and the literature, and implemented using the </w:t>
      </w:r>
      <w:r w:rsidRPr="00C566E3">
        <w:rPr>
          <w:bCs/>
        </w:rPr>
        <w:t xml:space="preserve">NEURON 7.4 simulator </w:t>
      </w:r>
      <w:r w:rsidRPr="00C566E3">
        <w:rPr>
          <w:bCs/>
        </w:rPr>
        <w:fldChar w:fldCharType="begin"/>
      </w:r>
      <w:r w:rsidRPr="00C566E3">
        <w:rPr>
          <w:bCs/>
        </w:rPr>
        <w:instrText xml:space="preserve"> ADDIN EN.CITE &lt;EndNote&gt;&lt;Cite&gt;&lt;Author&gt;Carnevale&lt;/Author&gt;&lt;Year&gt;2006&lt;/Year&gt;&lt;RecNum&gt;101&lt;/RecNum&gt;&lt;DisplayText&gt;[3]&lt;/DisplayText&gt;&lt;record&gt;&lt;rec-number&gt;101&lt;/rec-number&gt;&lt;foreign-keys&gt;&lt;key app="EN" db-id="wadfdsrz59rdaae9xsp59eaife9etwspvrz5" timestamp="1444145982"&gt;101&lt;/key&gt;&lt;key app="ENWeb" db-id=""&gt;0&lt;/key&gt;&lt;/foreign-keys&gt;&lt;ref-type name="Book"&gt;6&lt;/ref-type&gt;&lt;contributors&gt;&lt;authors&gt;&lt;author&gt;Carnevale, NT&lt;/author&gt;&lt;author&gt;Hines, ML&lt;/author&gt;&lt;/authors&gt;&lt;/contributors&gt;&lt;titles&gt;&lt;title&gt;The NEURON Book&lt;/title&gt;&lt;/titles&gt;&lt;dates&gt;&lt;year&gt;2006&lt;/year&gt;&lt;/dates&gt;&lt;pub-location&gt;UK&lt;/pub-location&gt;&lt;publisher&gt;Cambridge University Press&lt;/publisher&gt;&lt;urls&gt;&lt;/urls&gt;&lt;/record&gt;&lt;/Cite&gt;&lt;/EndNote&gt;</w:instrText>
      </w:r>
      <w:r w:rsidRPr="00C566E3">
        <w:rPr>
          <w:bCs/>
        </w:rPr>
        <w:fldChar w:fldCharType="separate"/>
      </w:r>
      <w:r w:rsidRPr="00C566E3">
        <w:rPr>
          <w:bCs/>
          <w:noProof/>
        </w:rPr>
        <w:t>[3]</w:t>
      </w:r>
      <w:r w:rsidRPr="00C566E3">
        <w:rPr>
          <w:bCs/>
        </w:rPr>
        <w:fldChar w:fldCharType="end"/>
      </w:r>
      <w:r w:rsidRPr="00C566E3">
        <w:rPr>
          <w:bCs/>
        </w:rPr>
        <w:t xml:space="preserve"> with a fixed time step of 25 µs. We first describe a brief overview of the mathematical underpinnings of both single cell dynamics and of the segregation approach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rPr>
          <w:bCs/>
        </w:rPr>
        <w:t>.</w:t>
      </w:r>
    </w:p>
    <w:p w14:paraId="3E7D4CD2" w14:textId="77777777" w:rsidR="00C566E3" w:rsidRPr="00C566E3" w:rsidRDefault="00C566E3" w:rsidP="00C566E3">
      <w:pPr>
        <w:rPr>
          <w:bCs/>
          <w:i/>
        </w:rPr>
      </w:pPr>
      <w:r w:rsidRPr="00C566E3">
        <w:rPr>
          <w:bCs/>
          <w:i/>
        </w:rPr>
        <w:t xml:space="preserve">Mathematical equations for voltage-dependent ionic currents: </w:t>
      </w:r>
      <w:r w:rsidRPr="00C566E3">
        <w:rPr>
          <w:bCs/>
        </w:rPr>
        <w:t xml:space="preserve">The dynamics for each compartment (soma or dendrite) followed the Hodgkin-Huxley formulation as previously described </w:t>
      </w:r>
      <w:r w:rsidRPr="00C566E3">
        <w:rPr>
          <w:bCs/>
        </w:rPr>
        <w:fldChar w:fldCharType="begin"/>
      </w:r>
      <w:r w:rsidRPr="00C566E3">
        <w:rPr>
          <w:bCs/>
        </w:rPr>
        <w:instrText xml:space="preserve"> ADDIN EN.CITE &lt;EndNote&gt;&lt;Cite&gt;&lt;Author&gt;Byrne&lt;/Author&gt;&lt;Year&gt;2014&lt;/Year&gt;&lt;RecNum&gt;694&lt;/RecNum&gt;&lt;DisplayText&gt;[4]&lt;/DisplayText&gt;&lt;record&gt;&lt;rec-number&gt;694&lt;/rec-number&gt;&lt;foreign-keys&gt;&lt;key app="EN" db-id="wadfdsrz59rdaae9xsp59eaife9etwspvrz5" timestamp="1477969617"&gt;694&lt;/key&gt;&lt;/foreign-keys&gt;&lt;ref-type name="Book"&gt;6&lt;/ref-type&gt;&lt;contributors&gt;&lt;authors&gt;&lt;author&gt;Byrne, J. H.&lt;/author&gt;&lt;author&gt;Roberts, J. L.&lt;/author&gt;&lt;author&gt;Waxham, M. N.&lt;/author&gt;&lt;/authors&gt;&lt;/contributors&gt;&lt;titles&gt;&lt;title&gt;From Molecules to Networks: An introduction to cellular and molecular neuroscience&lt;/title&gt;&lt;/titles&gt;&lt;edition&gt;3rd&lt;/edition&gt;&lt;dates&gt;&lt;year&gt;2014&lt;/year&gt;&lt;/dates&gt;&lt;publisher&gt;Elsevier&lt;/publisher&gt;&lt;urls&gt;&lt;/urls&gt;&lt;/record&gt;&lt;/Cite&gt;&lt;/EndNote&gt;</w:instrText>
      </w:r>
      <w:r w:rsidRPr="00C566E3">
        <w:rPr>
          <w:bCs/>
        </w:rPr>
        <w:fldChar w:fldCharType="separate"/>
      </w:r>
      <w:r w:rsidRPr="00C566E3">
        <w:rPr>
          <w:bCs/>
          <w:noProof/>
        </w:rPr>
        <w:t>[4]</w:t>
      </w:r>
      <w:r w:rsidRPr="00C566E3">
        <w:rPr>
          <w:bCs/>
        </w:rPr>
        <w:fldChar w:fldCharType="end"/>
      </w:r>
      <w:r w:rsidRPr="00C566E3">
        <w:rPr>
          <w:bCs/>
        </w:rPr>
        <w:t xml:space="preserve"> in eqn. 1,</w:t>
      </w:r>
    </w:p>
    <w:p w14:paraId="67F8F625" w14:textId="77777777" w:rsidR="00C566E3" w:rsidRPr="00C566E3" w:rsidRDefault="003C7107" w:rsidP="00C566E3">
      <w:pPr>
        <w:ind w:firstLine="720"/>
        <w:jc w:val="center"/>
        <w:rPr>
          <w:bCs/>
        </w:rPr>
      </w:pPr>
      <m:oMath>
        <m:sSub>
          <m:sSubPr>
            <m:ctrlPr>
              <w:rPr>
                <w:rFonts w:ascii="Cambria Math" w:eastAsiaTheme="minorEastAsia" w:hAnsi="Cambria Math"/>
                <w:i/>
              </w:rPr>
            </m:ctrlPr>
          </m:sSubPr>
          <m:e>
            <m:r>
              <w:rPr>
                <w:rFonts w:ascii="Cambria Math" w:hAnsi="Cambria Math"/>
              </w:rPr>
              <m:t>C</m:t>
            </m:r>
          </m:e>
          <m:sub>
            <m:r>
              <w:rPr>
                <w:rFonts w:ascii="Cambria Math" w:hAnsi="Cambria Math"/>
              </w:rPr>
              <m:t>m</m:t>
            </m:r>
          </m:sub>
        </m:sSub>
        <m:r>
          <w:rPr>
            <w:rFonts w:ascii="Cambria Math" w:hAnsi="Cambria Math"/>
          </w:rPr>
          <m:t>d</m:t>
        </m:r>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/dt=-</m:t>
        </m:r>
        <m:sSub>
          <m:sSubPr>
            <m:ctrlPr>
              <w:rPr>
                <w:rFonts w:ascii="Cambria Math" w:eastAsiaTheme="minorEastAsia" w:hAnsi="Cambria Math"/>
                <w:i/>
              </w:rPr>
            </m:ctrlPr>
          </m:sSubPr>
          <m:e>
            <m:r>
              <w:rPr>
                <w:rFonts w:ascii="Cambria Math" w:hAnsi="Cambria Math"/>
              </w:rPr>
              <m:t>g</m:t>
            </m:r>
          </m:e>
          <m:sub>
            <m:r>
              <w:rPr>
                <w:rFonts w:ascii="Cambria Math"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E</m:t>
                </m:r>
              </m:e>
              <m:sub>
                <m:r>
                  <w:rPr>
                    <w:rFonts w:ascii="Cambria Math" w:hAnsi="Cambria Math"/>
                  </w:rPr>
                  <m:t>L</m:t>
                </m:r>
              </m:sub>
            </m:sSub>
          </m:e>
        </m:d>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V</m:t>
                </m:r>
              </m:e>
              <m:sub>
                <m:r>
                  <w:rPr>
                    <w:rFonts w:ascii="Cambria Math" w:hAnsi="Cambria Math"/>
                  </w:rPr>
                  <m:t>d</m:t>
                </m:r>
              </m:sub>
            </m:sSub>
          </m:e>
        </m:d>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e>
        </m:nary>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e>
        </m:nary>
        <m:r>
          <w:rPr>
            <w:rFonts w:ascii="Cambria Math" w:hAnsi="Cambria Math"/>
          </w:rPr>
          <m:t>+</m:t>
        </m:r>
        <m:sSub>
          <m:sSubPr>
            <m:ctrlPr>
              <w:rPr>
                <w:rFonts w:ascii="Cambria Math" w:eastAsiaTheme="minorEastAsia" w:hAnsi="Cambria Math"/>
                <w:i/>
              </w:rPr>
            </m:ctrlPr>
          </m:sSubPr>
          <m:e>
            <m:r>
              <w:rPr>
                <w:rFonts w:ascii="Cambria Math" w:hAnsi="Cambria Math"/>
              </w:rPr>
              <m:t>I</m:t>
            </m:r>
          </m:e>
          <m:sub>
            <m:r>
              <w:rPr>
                <w:rFonts w:ascii="Cambria Math" w:hAnsi="Cambria Math"/>
              </w:rPr>
              <m:t>inj</m:t>
            </m:r>
          </m:sub>
        </m:sSub>
      </m:oMath>
      <w:r w:rsidR="00C566E3" w:rsidRPr="00C566E3">
        <w:rPr>
          <w:bCs/>
        </w:rPr>
        <w:tab/>
        <w:t>(1)</w:t>
      </w:r>
    </w:p>
    <w:p w14:paraId="5507CBD2" w14:textId="4803CCF7" w:rsidR="00C566E3" w:rsidRPr="00C566E3" w:rsidRDefault="00C566E3" w:rsidP="00C566E3">
      <w:pPr>
        <w:pStyle w:val="TextCharChar"/>
        <w:tabs>
          <w:tab w:val="left" w:pos="360"/>
        </w:tabs>
        <w:spacing w:line="240" w:lineRule="auto"/>
        <w:ind w:firstLine="0"/>
        <w:jc w:val="left"/>
        <w:rPr>
          <w:rFonts w:eastAsia="Times New Roman"/>
        </w:rPr>
      </w:pPr>
      <w:r w:rsidRPr="00C566E3">
        <w:rPr>
          <w:rFonts w:eastAsia="Times New Roman"/>
        </w:rPr>
        <w:t xml:space="preserve">where </w:t>
      </w:r>
      <m:oMath>
        <m:sSub>
          <m:sSubPr>
            <m:ctrlPr>
              <w:rPr>
                <w:rFonts w:ascii="Cambria Math" w:hAnsi="Cambria Math"/>
                <w:i/>
              </w:rPr>
            </m:ctrlPr>
          </m:sSubPr>
          <m:e>
            <m:r>
              <w:rPr>
                <w:rFonts w:ascii="Cambria Math" w:eastAsia="Times New Roman" w:hAnsi="Cambria Math"/>
              </w:rPr>
              <m:t>V</m:t>
            </m:r>
          </m:e>
          <m:sub>
            <m:r>
              <w:rPr>
                <w:rFonts w:ascii="Cambria Math" w:eastAsia="Times New Roman" w:hAnsi="Cambria Math"/>
              </w:rPr>
              <m:t>s</m:t>
            </m:r>
          </m:sub>
        </m:sSub>
        <m:r>
          <w:rPr>
            <w:rFonts w:ascii="Cambria Math" w:eastAsia="Times New Roman" w:hAnsi="Cambria Math"/>
          </w:rPr>
          <m:t>/</m:t>
        </m:r>
        <m:sSub>
          <m:sSubPr>
            <m:ctrlPr>
              <w:rPr>
                <w:rFonts w:ascii="Cambria Math" w:hAnsi="Cambria Math"/>
                <w:i/>
              </w:rPr>
            </m:ctrlPr>
          </m:sSubPr>
          <m:e>
            <m:r>
              <w:rPr>
                <w:rFonts w:ascii="Cambria Math" w:eastAsia="Times New Roman" w:hAnsi="Cambria Math"/>
              </w:rPr>
              <m:t>V</m:t>
            </m:r>
          </m:e>
          <m:sub>
            <m:r>
              <w:rPr>
                <w:rFonts w:ascii="Cambria Math" w:eastAsia="Times New Roman" w:hAnsi="Cambria Math"/>
              </w:rPr>
              <m:t>d</m:t>
            </m:r>
          </m:sub>
        </m:sSub>
      </m:oMath>
      <w:r w:rsidRPr="00C566E3">
        <w:rPr>
          <w:rFonts w:eastAsia="Times New Roman"/>
        </w:rPr>
        <w:t xml:space="preserve"> are the somatic/dendritic membrane potential (mV), </w:t>
      </w:r>
      <m:oMath>
        <m:sSubSup>
          <m:sSubSupPr>
            <m:ctrlPr>
              <w:rPr>
                <w:rFonts w:ascii="Cambria Math" w:hAnsi="Cambria Math"/>
              </w:rPr>
            </m:ctrlPr>
          </m:sSubSupPr>
          <m:e>
            <m:r>
              <w:rPr>
                <w:rFonts w:ascii="Cambria Math" w:hAnsi="Cambria Math"/>
              </w:rPr>
              <m:t>I</m:t>
            </m:r>
          </m:e>
          <m:sub>
            <m:r>
              <w:rPr>
                <w:rFonts w:ascii="Cambria Math" w:hAnsi="Cambria Math"/>
              </w:rPr>
              <m:t>cur,s</m:t>
            </m:r>
          </m:sub>
          <m:sup>
            <m:r>
              <w:rPr>
                <w:rFonts w:ascii="Cambria Math" w:hAnsi="Cambria Math"/>
              </w:rPr>
              <m:t>int</m:t>
            </m:r>
          </m:sup>
        </m:sSubSup>
      </m:oMath>
      <w:r w:rsidRPr="00C566E3">
        <w:rPr>
          <w:rFonts w:eastAsia="Times New Roman"/>
        </w:rPr>
        <w:t xml:space="preserve"> and </w:t>
      </w:r>
      <m:oMath>
        <m:sSubSup>
          <m:sSubSupPr>
            <m:ctrlPr>
              <w:rPr>
                <w:rFonts w:ascii="Cambria Math" w:hAnsi="Cambria Math"/>
              </w:rPr>
            </m:ctrlPr>
          </m:sSubSupPr>
          <m:e>
            <m:r>
              <w:rPr>
                <w:rFonts w:ascii="Cambria Math" w:hAnsi="Cambria Math"/>
              </w:rPr>
              <m:t>I</m:t>
            </m:r>
          </m:e>
          <m:sub>
            <m:r>
              <w:rPr>
                <w:rFonts w:ascii="Cambria Math" w:hAnsi="Cambria Math"/>
              </w:rPr>
              <m:t>cur,s</m:t>
            </m:r>
          </m:sub>
          <m:sup>
            <m:r>
              <w:rPr>
                <w:rFonts w:ascii="Cambria Math" w:hAnsi="Cambria Math"/>
              </w:rPr>
              <m:t>syn</m:t>
            </m:r>
          </m:sup>
        </m:sSubSup>
      </m:oMath>
      <w:r w:rsidRPr="00C566E3">
        <w:rPr>
          <w:rFonts w:eastAsia="Times New Roman"/>
        </w:rPr>
        <w:t xml:space="preserve"> are the intrinsic and synaptic currents in the soma, </w:t>
      </w:r>
      <m:oMath>
        <m:sSub>
          <m:sSubPr>
            <m:ctrlPr>
              <w:rPr>
                <w:rFonts w:ascii="Cambria Math" w:hAnsi="Cambria Math"/>
                <w:i/>
              </w:rPr>
            </m:ctrlPr>
          </m:sSubPr>
          <m:e>
            <m:r>
              <w:rPr>
                <w:rFonts w:ascii="Cambria Math" w:hAnsi="Cambria Math"/>
              </w:rPr>
              <m:t>I</m:t>
            </m:r>
          </m:e>
          <m:sub>
            <m:r>
              <w:rPr>
                <w:rFonts w:ascii="Cambria Math" w:hAnsi="Cambria Math"/>
              </w:rPr>
              <m:t>inj</m:t>
            </m:r>
          </m:sub>
        </m:sSub>
      </m:oMath>
      <w:r w:rsidRPr="00C566E3">
        <w:t xml:space="preserve"> </w:t>
      </w:r>
      <w:r w:rsidRPr="00C566E3">
        <w:rPr>
          <w:rFonts w:eastAsia="Times New Roman"/>
        </w:rPr>
        <w:t xml:space="preserve">is the electrode current applied to the soma,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C566E3">
        <w:t xml:space="preserve"> </w:t>
      </w:r>
      <w:r w:rsidRPr="00C566E3">
        <w:rPr>
          <w:rFonts w:eastAsia="Times New Roman"/>
        </w:rPr>
        <w:t xml:space="preserve">is the membrane capacitance,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C566E3">
        <w:rPr>
          <w:rFonts w:eastAsia="Times New Roman"/>
        </w:rPr>
        <w:t xml:space="preserve"> is the conductance of the leak channel, and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rsidRPr="00C566E3">
        <w:rPr>
          <w:rFonts w:eastAsia="Times New Roman"/>
        </w:rPr>
        <w:t xml:space="preserve"> is the coupling conductance between the soma and the dendrite (similar term added for other dendrites connected to the soma). The intrinsic current </w:t>
      </w:r>
      <m:oMath>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oMath>
      <w:r w:rsidRPr="00C566E3">
        <w:rPr>
          <w:rFonts w:eastAsia="Times New Roman"/>
          <w:i/>
        </w:rPr>
        <w:t>,</w:t>
      </w:r>
      <w:r w:rsidRPr="00C566E3">
        <w:rPr>
          <w:rFonts w:eastAsia="Times New Roman"/>
        </w:rPr>
        <w:t xml:space="preserve"> was modeled as</w:t>
      </w:r>
      <m:oMath>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cur</m:t>
            </m:r>
          </m:sub>
        </m:sSub>
        <m:sSup>
          <m:sSupPr>
            <m:ctrlPr>
              <w:rPr>
                <w:rFonts w:ascii="Cambria Math" w:hAnsi="Cambria Math"/>
                <w:i/>
              </w:rPr>
            </m:ctrlPr>
          </m:sSupPr>
          <m:e>
            <m:r>
              <w:rPr>
                <w:rFonts w:ascii="Cambria Math" w:hAnsi="Cambria Math"/>
              </w:rPr>
              <m:t>m</m:t>
            </m:r>
          </m:e>
          <m:sup>
            <m:r>
              <w:rPr>
                <w:rFonts w:ascii="Cambria Math" w:hAnsi="Cambria Math"/>
              </w:rPr>
              <m:t>p</m:t>
            </m:r>
          </m:sup>
        </m:sSup>
        <m:sSup>
          <m:sSupPr>
            <m:ctrlPr>
              <w:rPr>
                <w:rFonts w:ascii="Cambria Math" w:hAnsi="Cambria Math"/>
                <w:i/>
              </w:rPr>
            </m:ctrlPr>
          </m:sSupPr>
          <m:e>
            <m:r>
              <w:rPr>
                <w:rFonts w:ascii="Cambria Math" w:hAnsi="Cambria Math"/>
              </w:rPr>
              <m:t>h</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cur</m:t>
            </m:r>
          </m:sub>
        </m:sSub>
        <m:r>
          <w:rPr>
            <w:rFonts w:ascii="Cambria Math" w:hAnsi="Cambria Math"/>
          </w:rPr>
          <m:t>)</m:t>
        </m:r>
      </m:oMath>
      <w:r w:rsidRPr="00C566E3">
        <w:rPr>
          <w:rFonts w:eastAsia="Times New Roman"/>
        </w:rPr>
        <w:t xml:space="preserve">, where </w:t>
      </w:r>
      <m:oMath>
        <m:sSub>
          <m:sSubPr>
            <m:ctrlPr>
              <w:rPr>
                <w:rFonts w:ascii="Cambria Math" w:hAnsi="Cambria Math"/>
                <w:i/>
              </w:rPr>
            </m:ctrlPr>
          </m:sSubPr>
          <m:e>
            <m:r>
              <w:rPr>
                <w:rFonts w:ascii="Cambria Math" w:hAnsi="Cambria Math"/>
              </w:rPr>
              <m:t>g</m:t>
            </m:r>
          </m:e>
          <m:sub>
            <m:r>
              <w:rPr>
                <w:rFonts w:ascii="Cambria Math" w:hAnsi="Cambria Math"/>
              </w:rPr>
              <m:t>cur</m:t>
            </m:r>
          </m:sub>
        </m:sSub>
      </m:oMath>
      <w:r w:rsidRPr="00C566E3">
        <w:rPr>
          <w:rFonts w:eastAsia="Times New Roman"/>
        </w:rPr>
        <w:t xml:space="preserve"> is its maximal conductance, </w:t>
      </w:r>
      <w:r w:rsidRPr="00C566E3">
        <w:rPr>
          <w:rFonts w:eastAsia="Times New Roman"/>
          <w:i/>
        </w:rPr>
        <w:t xml:space="preserve">m </w:t>
      </w:r>
      <w:r w:rsidRPr="00C566E3">
        <w:rPr>
          <w:rFonts w:eastAsia="Times New Roman"/>
        </w:rPr>
        <w:t xml:space="preserve">its activation variable (with exponent </w:t>
      </w:r>
      <w:r w:rsidRPr="00C566E3">
        <w:rPr>
          <w:rFonts w:eastAsia="Times New Roman"/>
          <w:i/>
        </w:rPr>
        <w:t>p</w:t>
      </w:r>
      <w:r w:rsidRPr="00C566E3">
        <w:rPr>
          <w:rFonts w:eastAsia="Times New Roman"/>
        </w:rPr>
        <w:t xml:space="preserve">), </w:t>
      </w:r>
      <w:r w:rsidRPr="00C566E3">
        <w:rPr>
          <w:rFonts w:eastAsia="Times New Roman"/>
          <w:i/>
        </w:rPr>
        <w:t>h</w:t>
      </w:r>
      <w:r w:rsidRPr="00C566E3">
        <w:rPr>
          <w:rFonts w:eastAsia="Times New Roman"/>
        </w:rPr>
        <w:t xml:space="preserve"> its inactivation variable (with exponent </w:t>
      </w:r>
      <w:r w:rsidRPr="00C566E3">
        <w:rPr>
          <w:rFonts w:eastAsia="Times New Roman"/>
          <w:i/>
        </w:rPr>
        <w:t>q</w:t>
      </w:r>
      <w:r w:rsidRPr="00C566E3">
        <w:rPr>
          <w:rFonts w:eastAsia="Times New Roman"/>
        </w:rPr>
        <w:t xml:space="preserve">), and </w:t>
      </w:r>
      <m:oMath>
        <m:sSub>
          <m:sSubPr>
            <m:ctrlPr>
              <w:rPr>
                <w:rFonts w:ascii="Cambria Math" w:hAnsi="Cambria Math"/>
                <w:i/>
              </w:rPr>
            </m:ctrlPr>
          </m:sSubPr>
          <m:e>
            <m:r>
              <w:rPr>
                <w:rFonts w:ascii="Cambria Math" w:hAnsi="Cambria Math"/>
              </w:rPr>
              <m:t>E</m:t>
            </m:r>
          </m:e>
          <m:sub>
            <m:r>
              <w:rPr>
                <w:rFonts w:ascii="Cambria Math" w:hAnsi="Cambria Math"/>
              </w:rPr>
              <m:t>cur</m:t>
            </m:r>
          </m:sub>
        </m:sSub>
      </m:oMath>
      <w:r w:rsidRPr="00C566E3">
        <w:rPr>
          <w:rFonts w:eastAsia="Times New Roman"/>
        </w:rPr>
        <w:t xml:space="preserve"> its reversal potential (a similar equation is used for the synaptic current </w:t>
      </w:r>
      <m:oMath>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oMath>
      <w:r w:rsidRPr="00C566E3">
        <w:rPr>
          <w:rFonts w:eastAsia="Times New Roman"/>
        </w:rPr>
        <w:t xml:space="preserve"> but without </w:t>
      </w:r>
      <w:r w:rsidRPr="00C566E3">
        <w:rPr>
          <w:rFonts w:eastAsia="Times New Roman"/>
          <w:i/>
        </w:rPr>
        <w:t>m</w:t>
      </w:r>
      <w:r w:rsidRPr="00C566E3">
        <w:rPr>
          <w:rFonts w:eastAsia="Times New Roman"/>
        </w:rPr>
        <w:t xml:space="preserve"> and </w:t>
      </w:r>
      <w:r w:rsidRPr="00C566E3">
        <w:rPr>
          <w:rFonts w:eastAsia="Times New Roman"/>
          <w:i/>
        </w:rPr>
        <w:t>h</w:t>
      </w:r>
      <w:r w:rsidRPr="00C566E3">
        <w:rPr>
          <w:rFonts w:eastAsia="Times New Roman"/>
        </w:rPr>
        <w:t xml:space="preserve">). The kinetic equation for each of the gating variables </w:t>
      </w:r>
      <w:r w:rsidRPr="00C566E3">
        <w:rPr>
          <w:rFonts w:eastAsia="Times New Roman"/>
          <w:i/>
        </w:rPr>
        <w:t>x</w:t>
      </w:r>
      <w:r w:rsidRPr="00C566E3">
        <w:rPr>
          <w:rFonts w:eastAsia="Times New Roman"/>
        </w:rPr>
        <w:t xml:space="preserve"> (</w:t>
      </w:r>
      <w:r w:rsidRPr="00C566E3">
        <w:rPr>
          <w:rFonts w:eastAsia="Times New Roman"/>
          <w:i/>
        </w:rPr>
        <w:t>m</w:t>
      </w:r>
      <w:r w:rsidRPr="00C566E3">
        <w:rPr>
          <w:rFonts w:eastAsia="Times New Roman"/>
        </w:rPr>
        <w:t xml:space="preserve"> or </w:t>
      </w:r>
      <w:r w:rsidRPr="00C566E3">
        <w:rPr>
          <w:rFonts w:eastAsia="Times New Roman"/>
          <w:i/>
        </w:rPr>
        <w:t>h</w:t>
      </w:r>
      <w:r w:rsidRPr="00C566E3">
        <w:rPr>
          <w:rFonts w:eastAsia="Times New Roman"/>
        </w:rPr>
        <w:t xml:space="preserve">) takes the form </w:t>
      </w:r>
      <w:r w:rsidRPr="00C566E3">
        <w:rPr>
          <w:bCs/>
        </w:rPr>
        <w:t xml:space="preserve">but without </w:t>
      </w:r>
      <w:r w:rsidRPr="00C566E3">
        <w:rPr>
          <w:bCs/>
          <w:i/>
        </w:rPr>
        <w:t>m</w:t>
      </w:r>
      <w:r w:rsidRPr="00C566E3">
        <w:rPr>
          <w:bCs/>
        </w:rPr>
        <w:t xml:space="preserve"> and </w:t>
      </w:r>
      <w:r w:rsidRPr="00C566E3">
        <w:rPr>
          <w:bCs/>
          <w:i/>
        </w:rPr>
        <w:t>h</w:t>
      </w:r>
      <w:r w:rsidRPr="00C566E3">
        <w:rPr>
          <w:bCs/>
        </w:rPr>
        <w:t xml:space="preserve">. The kinetic equation for each of the gating variables </w:t>
      </w:r>
      <w:r w:rsidRPr="00C566E3">
        <w:rPr>
          <w:bCs/>
          <w:i/>
        </w:rPr>
        <w:t>x</w:t>
      </w:r>
      <w:r w:rsidRPr="00C566E3">
        <w:rPr>
          <w:bCs/>
        </w:rPr>
        <w:t xml:space="preserve"> (</w:t>
      </w:r>
      <w:r w:rsidRPr="00C566E3">
        <w:rPr>
          <w:bCs/>
          <w:i/>
        </w:rPr>
        <w:t>m</w:t>
      </w:r>
      <w:r w:rsidRPr="00C566E3">
        <w:rPr>
          <w:bCs/>
        </w:rPr>
        <w:t xml:space="preserve"> or </w:t>
      </w:r>
      <w:r w:rsidRPr="00C566E3">
        <w:rPr>
          <w:bCs/>
          <w:i/>
        </w:rPr>
        <w:t>h</w:t>
      </w:r>
      <w:r w:rsidRPr="00C566E3">
        <w:rPr>
          <w:bCs/>
        </w:rPr>
        <w:t>) takes the form</w:t>
      </w:r>
    </w:p>
    <w:p w14:paraId="27232416" w14:textId="77777777" w:rsidR="00C566E3" w:rsidRPr="00C566E3" w:rsidRDefault="003C7107" w:rsidP="00C566E3">
      <w:pPr>
        <w:ind w:firstLine="720"/>
        <w:jc w:val="center"/>
        <w:rPr>
          <w:bCs/>
        </w:rPr>
      </w:pPr>
      <m:oMath>
        <m:f>
          <m:fPr>
            <m:ctrlPr>
              <w:rPr>
                <w:rFonts w:ascii="Cambria Math" w:eastAsiaTheme="minorEastAsia"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hAnsi="Cambria Math"/>
                  </w:rPr>
                  <m:t>x</m:t>
                </m:r>
              </m:e>
              <m:sub>
                <m:r>
                  <w:rPr>
                    <w:rFonts w:ascii="Cambria Math" w:hAnsi="Cambria Math"/>
                  </w:rPr>
                  <m:t>∞</m:t>
                </m:r>
              </m:sub>
            </m:sSub>
            <m:d>
              <m:dPr>
                <m:ctrlPr>
                  <w:rPr>
                    <w:rFonts w:ascii="Cambria Math" w:eastAsiaTheme="minorEastAsia" w:hAnsi="Cambria Math"/>
                    <w:i/>
                  </w:rPr>
                </m:ctrlPr>
              </m:dPr>
              <m:e>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e>
            </m:d>
            <m:r>
              <w:rPr>
                <w:rFonts w:ascii="Cambria Math" w:hAnsi="Cambria Math"/>
              </w:rPr>
              <m:t>-x</m:t>
            </m:r>
          </m:num>
          <m:den>
            <m:sSub>
              <m:sSubPr>
                <m:ctrlPr>
                  <w:rPr>
                    <w:rFonts w:ascii="Cambria Math" w:eastAsiaTheme="minorEastAsia" w:hAnsi="Cambria Math"/>
                    <w:i/>
                  </w:rPr>
                </m:ctrlPr>
              </m:sSubPr>
              <m:e>
                <m:r>
                  <w:rPr>
                    <w:rFonts w:ascii="Cambria Math" w:hAnsi="Cambria Math"/>
                  </w:rPr>
                  <m:t>τ</m:t>
                </m:r>
              </m:e>
              <m:sub>
                <m:r>
                  <w:rPr>
                    <w:rFonts w:ascii="Cambria Math" w:hAnsi="Cambria Math"/>
                  </w:rPr>
                  <m:t>x</m:t>
                </m:r>
              </m:sub>
            </m:sSub>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r>
              <w:rPr>
                <w:rFonts w:ascii="Cambria Math" w:hAnsi="Cambria Math"/>
              </w:rPr>
              <m:t>)</m:t>
            </m:r>
          </m:den>
        </m:f>
      </m:oMath>
      <w:r w:rsidR="00C566E3" w:rsidRPr="00C566E3">
        <w:rPr>
          <w:bCs/>
        </w:rPr>
        <w:t xml:space="preserve"> </w:t>
      </w:r>
      <w:r w:rsidR="00C566E3" w:rsidRPr="00C566E3">
        <w:rPr>
          <w:bCs/>
        </w:rPr>
        <w:tab/>
        <w:t xml:space="preserve">                                   (2)</w:t>
      </w:r>
    </w:p>
    <w:p w14:paraId="1A53E107" w14:textId="77777777" w:rsidR="00DC10A0" w:rsidRDefault="00C566E3" w:rsidP="00C566E3">
      <w:r w:rsidRPr="00C566E3">
        <w:t xml:space="preserve">where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C566E3">
        <w:t xml:space="preserve"> is the steady state gating voltage- and/or Ca</w:t>
      </w:r>
      <w:r w:rsidRPr="00C566E3">
        <w:rPr>
          <w:vertAlign w:val="superscript"/>
        </w:rPr>
        <w:t>2+</w:t>
      </w:r>
      <w:r w:rsidRPr="00C566E3">
        <w:t xml:space="preserve">- dependent gating variable and </w:t>
      </w:r>
      <m:oMath>
        <m:sSub>
          <m:sSubPr>
            <m:ctrlPr>
              <w:rPr>
                <w:rFonts w:ascii="Cambria Math" w:hAnsi="Cambria Math"/>
                <w:i/>
              </w:rPr>
            </m:ctrlPr>
          </m:sSubPr>
          <m:e>
            <m:r>
              <w:rPr>
                <w:rFonts w:ascii="Cambria Math" w:hAnsi="Cambria Math"/>
              </w:rPr>
              <m:t>τ</m:t>
            </m:r>
          </m:e>
          <m:sub>
            <m:r>
              <w:rPr>
                <w:rFonts w:ascii="Cambria Math" w:hAnsi="Cambria Math"/>
              </w:rPr>
              <m:t>x</m:t>
            </m:r>
          </m:sub>
        </m:sSub>
        <m:r>
          <w:rPr>
            <w:rFonts w:ascii="Cambria Math" w:hAnsi="Cambria Math"/>
          </w:rPr>
          <m:t xml:space="preserve"> </m:t>
        </m:r>
      </m:oMath>
      <w:r w:rsidRPr="00C566E3">
        <w:t>is the voltage</w:t>
      </w:r>
      <w:r w:rsidRPr="00C566E3">
        <w:rPr>
          <w:b/>
        </w:rPr>
        <w:t xml:space="preserve">- </w:t>
      </w:r>
      <w:r w:rsidRPr="00C566E3">
        <w:t>and/or Ca</w:t>
      </w:r>
      <w:r w:rsidRPr="00C566E3">
        <w:rPr>
          <w:vertAlign w:val="superscript"/>
        </w:rPr>
        <w:t>2+</w:t>
      </w:r>
      <w:r w:rsidRPr="00C566E3">
        <w:rPr>
          <w:b/>
        </w:rPr>
        <w:t>-</w:t>
      </w:r>
      <w:r w:rsidRPr="00C566E3">
        <w:t xml:space="preserve"> dependent time constant. The equation for the dendrite follows the same format with ‘</w:t>
      </w:r>
      <w:r w:rsidRPr="00C566E3">
        <w:rPr>
          <w:i/>
        </w:rPr>
        <w:t>s</w:t>
      </w:r>
      <w:r w:rsidRPr="00C566E3">
        <w:t>’ and ‘</w:t>
      </w:r>
      <w:r w:rsidRPr="00C566E3">
        <w:rPr>
          <w:i/>
        </w:rPr>
        <w:t>d</w:t>
      </w:r>
      <w:r w:rsidRPr="00C566E3">
        <w:t xml:space="preserve">’ switching positions in eqn. 1. The procedure for selecting the channel currents </w:t>
      </w:r>
      <w:r w:rsidRPr="00C566E3">
        <w:lastRenderedPageBreak/>
        <w:t>and their model parameters are described next using an approach we proposed recently.</w:t>
      </w:r>
    </w:p>
    <w:p w14:paraId="0A2C2FF2" w14:textId="1EE43740" w:rsidR="00C566E3" w:rsidRPr="00C566E3" w:rsidRDefault="00C566E3" w:rsidP="00C566E3">
      <w:pPr>
        <w:rPr>
          <w:color w:val="000000"/>
        </w:rPr>
      </w:pPr>
      <w:r w:rsidRPr="00C566E3">
        <w:rPr>
          <w:bCs/>
        </w:rPr>
        <w:br/>
      </w:r>
      <w:r w:rsidRPr="00C566E3">
        <w:rPr>
          <w:bCs/>
          <w:i/>
          <w:iCs/>
        </w:rPr>
        <w:t>Segregation hypothesis in single cell design</w:t>
      </w:r>
      <w:r w:rsidRPr="00C566E3">
        <w:rPr>
          <w:color w:val="000000"/>
        </w:rPr>
        <w:t>. The hypothesis states that distinct current modules implement neurocomputational properties, e.g., passive properties (</w:t>
      </w:r>
      <w:proofErr w:type="spellStart"/>
      <w:r w:rsidRPr="00C566E3">
        <w:rPr>
          <w:color w:val="000000"/>
        </w:rPr>
        <w:t>Vrest</w:t>
      </w:r>
      <w:proofErr w:type="spellEnd"/>
      <w:r w:rsidRPr="00C566E3">
        <w:rPr>
          <w:color w:val="000000"/>
        </w:rPr>
        <w:t xml:space="preserve">, input resistance, tau) and spiking properties in cartoon form in Fig.1. In this case, leak and the hyperpolarization-activated cation current H (passive module) are responsible for passive properties. </w:t>
      </w:r>
      <w:r w:rsidRPr="00DC10A0">
        <w:rPr>
          <w:color w:val="000000"/>
        </w:rPr>
        <w:t>Similarly, leak, transient sodium Nat</w:t>
      </w:r>
      <w:r w:rsidR="004929F3" w:rsidRPr="00DC10A0">
        <w:rPr>
          <w:color w:val="000000"/>
        </w:rPr>
        <w:t>,</w:t>
      </w:r>
      <w:r w:rsidRPr="00DC10A0">
        <w:rPr>
          <w:color w:val="000000"/>
        </w:rPr>
        <w:t xml:space="preserve"> and delayed rectifier Kdr currents set the spiking properties for the spiking module</w:t>
      </w:r>
      <w:r w:rsidRPr="00C566E3">
        <w:rPr>
          <w:color w:val="000000"/>
        </w:rPr>
        <w:t xml:space="preserve">. The activation functions are segregated to prevent overlap, i.e., the currents of each module start on the voltage axis only after the zone of action of the module to its left. Details related to the approach with additional modules can be found in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rPr>
          <w:color w:val="000000"/>
        </w:rPr>
        <w:t>.</w:t>
      </w:r>
    </w:p>
    <w:p w14:paraId="5C38031F" w14:textId="77777777" w:rsidR="00C566E3" w:rsidRPr="00C566E3" w:rsidRDefault="00C566E3" w:rsidP="00C566E3">
      <w:pPr>
        <w:rPr>
          <w:bCs/>
          <w:i/>
          <w:iCs/>
        </w:rPr>
      </w:pPr>
    </w:p>
    <w:p w14:paraId="6BDC9C8B" w14:textId="5C20FC8A" w:rsidR="00C566E3" w:rsidRPr="00C566E3" w:rsidRDefault="00C566E3" w:rsidP="00C566E3">
      <w:pPr>
        <w:rPr>
          <w:color w:val="000000"/>
        </w:rPr>
      </w:pPr>
      <w:r w:rsidRPr="00C566E3">
        <w:rPr>
          <w:bCs/>
          <w:i/>
          <w:iCs/>
        </w:rPr>
        <w:t>Design of the Nap-KM module as option 1 for adaptation/bursting properties</w:t>
      </w:r>
      <w:r w:rsidRPr="00C566E3">
        <w:rPr>
          <w:color w:val="000000"/>
        </w:rPr>
        <w:t xml:space="preserve">. To design the neurocomputational property of adaptation and bursting, we first add the transient sodium (Nap) +M type potassium (KM) module (known to provide this property to neurons </w:t>
      </w:r>
      <w:r w:rsidRPr="00C566E3">
        <w:rPr>
          <w:color w:val="000000"/>
        </w:rPr>
        <w:fldChar w:fldCharType="begin"/>
      </w:r>
      <w:r w:rsidRPr="00C566E3">
        <w:rPr>
          <w:color w:val="000000"/>
        </w:rPr>
        <w:instrText xml:space="preserve"> ADDIN EN.CITE &lt;EndNote&gt;&lt;Cite&gt;&lt;Author&gt;Izhikevich&lt;/Author&gt;&lt;Year&gt;2007&lt;/Year&gt;&lt;RecNum&gt;236&lt;/RecNum&gt;&lt;DisplayText&gt;[5]&lt;/DisplayText&gt;&lt;record&gt;&lt;rec-number&gt;236&lt;/rec-number&gt;&lt;foreign-keys&gt;&lt;key app="EN" db-id="wadfdsrz59rdaae9xsp59eaife9etwspvrz5" timestamp="1444145982"&gt;236&lt;/key&gt;&lt;key app="ENWeb" db-id=""&gt;0&lt;/key&gt;&lt;/foreign-keys&gt;&lt;ref-type name="Electronic Book"&gt;44&lt;/ref-type&gt;&lt;contributors&gt;&lt;authors&gt;&lt;author&gt;Izhikevich&lt;/author&gt;&lt;/authors&gt;&lt;/contributors&gt;&lt;titles&gt;&lt;title&gt;Dynamical systems in neuroscience the geometry of excitability and bursting&lt;/title&gt;&lt;secondary-title&gt;Computational neuroscience&lt;/secondary-title&gt;&lt;/titles&gt;&lt;keywords&gt;&lt;keyword&gt;Neurons physiology.&lt;/keyword&gt;&lt;keyword&gt;Models, Neurological.&lt;/keyword&gt;&lt;keyword&gt;Nerve Net physiology.&lt;/keyword&gt;&lt;keyword&gt;Nonlinear Dynamics.&lt;/keyword&gt;&lt;/keywords&gt;&lt;dates&gt;&lt;year&gt;2007&lt;/year&gt;&lt;/dates&gt;&lt;pub-location&gt;Cambridge, Mass.&lt;/pub-location&gt;&lt;publisher&gt;MIT Press&lt;/publisher&gt;&lt;isbn&gt;9780262090438 (alk. paper) 0262090430 (alk. paper)&lt;/isbn&gt;&lt;urls&gt;&lt;/urls&gt;&lt;/record&gt;&lt;/Cite&gt;&lt;/EndNote&gt;</w:instrText>
      </w:r>
      <w:r w:rsidRPr="00C566E3">
        <w:rPr>
          <w:color w:val="000000"/>
        </w:rPr>
        <w:fldChar w:fldCharType="separate"/>
      </w:r>
      <w:r w:rsidRPr="00C566E3">
        <w:rPr>
          <w:noProof/>
          <w:color w:val="000000"/>
        </w:rPr>
        <w:t>[5]</w:t>
      </w:r>
      <w:r w:rsidRPr="00C566E3">
        <w:rPr>
          <w:color w:val="000000"/>
        </w:rPr>
        <w:fldChar w:fldCharType="end"/>
      </w:r>
      <w:r w:rsidRPr="00C566E3">
        <w:rPr>
          <w:color w:val="000000"/>
        </w:rPr>
        <w:t xml:space="preserve">) to the ‘passive’ and ‘spiking’ modules in Fig. 1 that were described above. An example case hippocampal CA3 neuron  with an adapting characteristic </w:t>
      </w:r>
      <w:r w:rsidRPr="00C566E3">
        <w:rPr>
          <w:color w:val="000000"/>
        </w:rPr>
        <w:fldChar w:fldCharType="begin"/>
      </w:r>
      <w:r w:rsidRPr="00C566E3">
        <w:rPr>
          <w:color w:val="000000"/>
        </w:rPr>
        <w:instrText xml:space="preserve"> ADDIN EN.CITE &lt;EndNote&gt;&lt;Cite&gt;&lt;Author&gt;Sun&lt;/Author&gt;&lt;Year&gt;2017&lt;/Year&gt;&lt;RecNum&gt;5475&lt;/RecNum&gt;&lt;DisplayText&gt;[6]&lt;/DisplayText&gt;&lt;record&gt;&lt;rec-number&gt;5475&lt;/rec-number&gt;&lt;foreign-keys&gt;&lt;key app="EN" db-id="wadfdsrz59rdaae9xsp59eaife9etwspvrz5" timestamp="1605838744"&gt;5475&lt;/key&gt;&lt;/foreign-keys&gt;&lt;ref-type name="Journal Article"&gt;17&lt;/ref-type&gt;&lt;contributors&gt;&lt;authors&gt;&lt;author&gt;Sun, Qian&lt;/author&gt;&lt;author&gt;Sotayo, Alaba&lt;/author&gt;&lt;author&gt;Cazzulino, Alejandro S.&lt;/author&gt;&lt;author&gt;Snyder, Anna M.&lt;/author&gt;&lt;author&gt;Denny, Christine A.&lt;/author&gt;&lt;author&gt;Siegelbaum, Steven A.&lt;/author&gt;&lt;/authors&gt;&lt;/contributors&gt;&lt;titles&gt;&lt;title&gt;Proximodistal Heterogeneity of Hippocampal CA3 Pyramidal Neuron Intrinsic Properties, Connectivity, and Reactivation during Memory Recall&lt;/title&gt;&lt;secondary-title&gt;Neuron&lt;/secondary-title&gt;&lt;/titles&gt;&lt;periodical&gt;&lt;full-title&gt;Neuron&lt;/full-title&gt;&lt;abbr-1&gt;Neuron&lt;/abbr-1&gt;&lt;abbr-2&gt;Neuron&lt;/abbr-2&gt;&lt;/periodical&gt;&lt;pages&gt;656-672.e3&lt;/pages&gt;&lt;volume&gt;95&lt;/volume&gt;&lt;number&gt;3&lt;/number&gt;&lt;keywords&gt;&lt;keyword&gt;Hippocampus&lt;/keyword&gt;&lt;keyword&gt;CA3&lt;/keyword&gt;&lt;keyword&gt;CA2&lt;/keyword&gt;&lt;keyword&gt;recurrent collateral&lt;/keyword&gt;&lt;keyword&gt;mossy fiber&lt;/keyword&gt;&lt;keyword&gt;intrinsic excitability&lt;/keyword&gt;&lt;keyword&gt;input resistance&lt;/keyword&gt;&lt;keyword&gt;perforant path&lt;/keyword&gt;&lt;keyword&gt;pattern completion&lt;/keyword&gt;&lt;keyword&gt;contextual fear conditioning&lt;/keyword&gt;&lt;/keywords&gt;&lt;dates&gt;&lt;year&gt;2017&lt;/year&gt;&lt;pub-dates&gt;&lt;date&gt;2017/08/02/&lt;/date&gt;&lt;/pub-dates&gt;&lt;/dates&gt;&lt;isbn&gt;0896-6273&lt;/isbn&gt;&lt;urls&gt;&lt;related-urls&gt;&lt;url&gt;http://www.sciencedirect.com/science/article/pii/S0896627317306347&lt;/url&gt;&lt;/related-urls&gt;&lt;/urls&gt;&lt;electronic-resource-num&gt;https://doi.org/10.1016/j.neuron.2017.07.012&lt;/electronic-resource-num&gt;&lt;/record&gt;&lt;/Cite&gt;&lt;/EndNote&gt;</w:instrText>
      </w:r>
      <w:r w:rsidRPr="00C566E3">
        <w:rPr>
          <w:color w:val="000000"/>
        </w:rPr>
        <w:fldChar w:fldCharType="separate"/>
      </w:r>
      <w:r w:rsidRPr="00C566E3">
        <w:rPr>
          <w:noProof/>
          <w:color w:val="000000"/>
        </w:rPr>
        <w:t>[6]</w:t>
      </w:r>
      <w:r w:rsidRPr="00C566E3">
        <w:rPr>
          <w:color w:val="000000"/>
        </w:rPr>
        <w:fldChar w:fldCharType="end"/>
      </w:r>
      <w:r w:rsidRPr="00C566E3">
        <w:rPr>
          <w:color w:val="000000"/>
        </w:rPr>
        <w:t xml:space="preserve"> is considered to illustrate the procedure. The neuron also has other spiking currents transient sodium (Nat), delayed rectifier potassium (Kdr), hyperpolarization-activated cation current (H) and leak currents, which are kept fixed here. The ranges for the adjustable parameters for Nap-KM modules of the CA3 neuron, based on biological reports, were as follows (units for g is mS/cm2 and for V1/s is mV): </w:t>
      </w:r>
      <w:proofErr w:type="spellStart"/>
      <w:r w:rsidRPr="00C566E3">
        <w:rPr>
          <w:color w:val="000000"/>
        </w:rPr>
        <w:t>gNap</w:t>
      </w:r>
      <w:proofErr w:type="spellEnd"/>
      <w:r w:rsidRPr="00C566E3">
        <w:rPr>
          <w:color w:val="000000"/>
        </w:rPr>
        <w:t xml:space="preserve"> – [1*10</w:t>
      </w:r>
      <w:r w:rsidRPr="00C566E3">
        <w:rPr>
          <w:color w:val="000000"/>
          <w:vertAlign w:val="superscript"/>
        </w:rPr>
        <w:t>-5</w:t>
      </w:r>
      <w:r w:rsidRPr="00C566E3">
        <w:rPr>
          <w:color w:val="000000"/>
        </w:rPr>
        <w:t xml:space="preserve">, 0.005], </w:t>
      </w:r>
      <w:proofErr w:type="spellStart"/>
      <w:r w:rsidRPr="00C566E3">
        <w:rPr>
          <w:color w:val="000000"/>
        </w:rPr>
        <w:t>gKM</w:t>
      </w:r>
      <w:proofErr w:type="spellEnd"/>
      <w:r w:rsidRPr="00C566E3">
        <w:rPr>
          <w:color w:val="000000"/>
        </w:rPr>
        <w:t xml:space="preserve"> – [5*10</w:t>
      </w:r>
      <w:r w:rsidRPr="00C566E3">
        <w:rPr>
          <w:color w:val="000000"/>
          <w:vertAlign w:val="superscript"/>
        </w:rPr>
        <w:t>-6</w:t>
      </w:r>
      <w:r w:rsidRPr="00C566E3">
        <w:rPr>
          <w:color w:val="000000"/>
        </w:rPr>
        <w:t>, 0.017], V</w:t>
      </w:r>
      <w:r w:rsidRPr="00C566E3">
        <w:rPr>
          <w:color w:val="000000"/>
          <w:vertAlign w:val="subscript"/>
        </w:rPr>
        <w:t>1/2</w:t>
      </w:r>
      <w:r w:rsidRPr="00C566E3">
        <w:rPr>
          <w:color w:val="000000"/>
        </w:rPr>
        <w:t xml:space="preserve"> Nap - [-65, -35], V</w:t>
      </w:r>
      <w:r w:rsidRPr="00C566E3">
        <w:rPr>
          <w:color w:val="000000"/>
          <w:vertAlign w:val="subscript"/>
        </w:rPr>
        <w:t>1/2</w:t>
      </w:r>
      <w:r w:rsidRPr="00C566E3">
        <w:rPr>
          <w:color w:val="000000"/>
        </w:rPr>
        <w:t xml:space="preserve"> KM - [-50, 0]. </w:t>
      </w:r>
    </w:p>
    <w:p w14:paraId="096E6A00" w14:textId="20148995" w:rsidR="00C566E3" w:rsidRPr="00C566E3" w:rsidRDefault="00C566E3" w:rsidP="00C566E3">
      <w:pPr>
        <w:rPr>
          <w:color w:val="000000"/>
        </w:rPr>
      </w:pPr>
      <w:r w:rsidRPr="00C566E3">
        <w:rPr>
          <w:bCs/>
          <w:i/>
          <w:iCs/>
        </w:rPr>
        <w:t xml:space="preserve">Design of the </w:t>
      </w:r>
      <w:proofErr w:type="spellStart"/>
      <w:r w:rsidRPr="00C566E3">
        <w:rPr>
          <w:bCs/>
          <w:i/>
          <w:iCs/>
        </w:rPr>
        <w:t>CaS</w:t>
      </w:r>
      <w:proofErr w:type="spellEnd"/>
      <w:r w:rsidRPr="00C566E3">
        <w:rPr>
          <w:bCs/>
          <w:i/>
          <w:iCs/>
        </w:rPr>
        <w:t>-</w:t>
      </w:r>
      <w:proofErr w:type="spellStart"/>
      <w:r w:rsidRPr="00C566E3">
        <w:rPr>
          <w:bCs/>
          <w:i/>
          <w:iCs/>
        </w:rPr>
        <w:t>CaT</w:t>
      </w:r>
      <w:proofErr w:type="spellEnd"/>
      <w:r w:rsidRPr="00C566E3">
        <w:rPr>
          <w:bCs/>
          <w:i/>
          <w:iCs/>
        </w:rPr>
        <w:t>-</w:t>
      </w:r>
      <w:r w:rsidR="0031792D">
        <w:rPr>
          <w:bCs/>
          <w:i/>
          <w:iCs/>
        </w:rPr>
        <w:t>sAHP</w:t>
      </w:r>
      <w:r w:rsidRPr="00C566E3">
        <w:rPr>
          <w:bCs/>
          <w:i/>
          <w:iCs/>
        </w:rPr>
        <w:t xml:space="preserve"> module as option 2 for adaptation/bursting properties</w:t>
      </w:r>
      <w:r w:rsidRPr="00C566E3">
        <w:rPr>
          <w:color w:val="000000"/>
        </w:rPr>
        <w:t>. A second option to implement adaptation and busting is the set of currents that include a low-threshold Ca2+ (</w:t>
      </w:r>
      <w:proofErr w:type="spellStart"/>
      <w:r w:rsidRPr="00C566E3">
        <w:rPr>
          <w:color w:val="000000"/>
        </w:rPr>
        <w:t>CaS</w:t>
      </w:r>
      <w:proofErr w:type="spellEnd"/>
      <w:r w:rsidRPr="00C566E3">
        <w:rPr>
          <w:color w:val="000000"/>
        </w:rPr>
        <w:t>), high-threshold Ca2+ (</w:t>
      </w:r>
      <w:proofErr w:type="spellStart"/>
      <w:r w:rsidRPr="00C566E3">
        <w:rPr>
          <w:color w:val="000000"/>
        </w:rPr>
        <w:t>CaT</w:t>
      </w:r>
      <w:proofErr w:type="spellEnd"/>
      <w:r w:rsidRPr="00C566E3">
        <w:rPr>
          <w:color w:val="000000"/>
        </w:rPr>
        <w:t>) and the calcium-activated potassium (</w:t>
      </w:r>
      <w:r w:rsidR="0031792D">
        <w:rPr>
          <w:color w:val="000000"/>
        </w:rPr>
        <w:t>sAHP</w:t>
      </w:r>
      <w:r w:rsidRPr="00C566E3">
        <w:rPr>
          <w:color w:val="000000"/>
        </w:rPr>
        <w:t xml:space="preserve">) currents. </w:t>
      </w:r>
    </w:p>
    <w:p w14:paraId="1C43365B" w14:textId="1F82EF8F" w:rsidR="00C566E3" w:rsidRPr="00C566E3" w:rsidRDefault="00C566E3" w:rsidP="00C566E3">
      <w:pPr>
        <w:rPr>
          <w:color w:val="000000"/>
        </w:rPr>
      </w:pPr>
      <w:r w:rsidRPr="00C566E3">
        <w:rPr>
          <w:color w:val="000000"/>
        </w:rPr>
        <w:t xml:space="preserve">A different class of the same hippocampal CA3 neuron  that exhibits the bursting characteristic </w:t>
      </w:r>
      <w:r w:rsidR="003E680F">
        <w:rPr>
          <w:color w:val="000000"/>
        </w:rPr>
        <w:fldChar w:fldCharType="begin"/>
      </w:r>
      <w:r w:rsidR="003E680F">
        <w:rPr>
          <w:color w:val="000000"/>
        </w:rPr>
        <w:instrText xml:space="preserve"> ADDIN EN.CITE &lt;EndNote&gt;&lt;Cite&gt;&lt;Author&gt;Staff&lt;/Author&gt;&lt;Year&gt;2000&lt;/Year&gt;&lt;RecNum&gt;5478&lt;/RecNum&gt;&lt;DisplayText&gt;[7]&lt;/DisplayText&gt;&lt;record&gt;&lt;rec-number&gt;5478&lt;/rec-number&gt;&lt;foreign-keys&gt;&lt;key app="EN" db-id="wadfdsrz59rdaae9xsp59eaife9etwspvrz5" timestamp="1605850635"&gt;5478&lt;/key&gt;&lt;/foreign-keys&gt;&lt;ref-type name="Journal Article"&gt;17&lt;/ref-type&gt;&lt;contributors&gt;&lt;authors&gt;&lt;author&gt;Nathan P. Staff&lt;/author&gt;&lt;author&gt;Hae-Yoon Jung&lt;/author&gt;&lt;author&gt;Tara Thiagarajan&lt;/author&gt;&lt;author&gt;Michael Yao&lt;/author&gt;&lt;author&gt;Nelson Spruston&lt;/author&gt;&lt;/authors&gt;&lt;/contributors&gt;&lt;titles&gt;&lt;title&gt;Resting and Active Properties of Pyramidal Neurons in Subiculum and CA1 of Rat Hippocampus&lt;/title&gt;&lt;secondary-title&gt;Journal of Neurophysiology&lt;/secondary-title&gt;&lt;/titles&gt;&lt;periodical&gt;&lt;full-title&gt;Journal of Neurophysiology&lt;/full-title&gt;&lt;abbr-1&gt;J. Neurophysiol.&lt;/abbr-1&gt;&lt;abbr-2&gt;J Neurophysiol&lt;/abbr-2&gt;&lt;/periodical&gt;&lt;pages&gt;2398-2408&lt;/pages&gt;&lt;volume&gt;84&lt;/volume&gt;&lt;number&gt;5&lt;/number&gt;&lt;dates&gt;&lt;year&gt;2000&lt;/year&gt;&lt;/dates&gt;&lt;accession-num&gt;11067982&lt;/accession-num&gt;&lt;urls&gt;&lt;related-urls&gt;&lt;url&gt;https://journals.physiology.org/doi/abs/10.1152/jn.2000.84.5.2398&lt;/url&gt;&lt;/related-urls&gt;&lt;/urls&gt;&lt;electronic-resource-num&gt;10.1152/jn.2000.84.5.2398&lt;/electronic-resource-num&gt;&lt;/record&gt;&lt;/Cite&gt;&lt;/EndNote&gt;</w:instrText>
      </w:r>
      <w:r w:rsidR="003E680F">
        <w:rPr>
          <w:color w:val="000000"/>
        </w:rPr>
        <w:fldChar w:fldCharType="separate"/>
      </w:r>
      <w:r w:rsidR="003E680F">
        <w:rPr>
          <w:noProof/>
          <w:color w:val="000000"/>
        </w:rPr>
        <w:t>[7]</w:t>
      </w:r>
      <w:r w:rsidR="003E680F">
        <w:rPr>
          <w:color w:val="000000"/>
        </w:rPr>
        <w:fldChar w:fldCharType="end"/>
      </w:r>
      <w:r w:rsidR="003E680F">
        <w:rPr>
          <w:color w:val="000000"/>
        </w:rPr>
        <w:t xml:space="preserve"> </w:t>
      </w:r>
      <w:r w:rsidRPr="00C566E3">
        <w:rPr>
          <w:color w:val="000000"/>
        </w:rPr>
        <w:t xml:space="preserve">is considered for this option. Similar to the case above, the ranges for the parameters for this set of current were as follows (units for g is mS/cm2 and for V1/s is mV): </w:t>
      </w:r>
      <w:proofErr w:type="spellStart"/>
      <w:r w:rsidRPr="00C81685">
        <w:rPr>
          <w:color w:val="000000"/>
        </w:rPr>
        <w:t>gCaS</w:t>
      </w:r>
      <w:proofErr w:type="spellEnd"/>
      <w:r w:rsidRPr="00C81685">
        <w:rPr>
          <w:color w:val="000000"/>
        </w:rPr>
        <w:t xml:space="preserve"> – [1*10</w:t>
      </w:r>
      <w:r w:rsidRPr="00C81685">
        <w:rPr>
          <w:color w:val="000000"/>
          <w:vertAlign w:val="superscript"/>
        </w:rPr>
        <w:t>-5</w:t>
      </w:r>
      <w:r w:rsidRPr="00C81685">
        <w:rPr>
          <w:color w:val="000000"/>
        </w:rPr>
        <w:t xml:space="preserve">, 0.017], </w:t>
      </w:r>
      <w:proofErr w:type="spellStart"/>
      <w:r w:rsidRPr="00C81685">
        <w:rPr>
          <w:color w:val="000000"/>
        </w:rPr>
        <w:t>gCaT</w:t>
      </w:r>
      <w:proofErr w:type="spellEnd"/>
      <w:r w:rsidRPr="00C81685">
        <w:rPr>
          <w:color w:val="000000"/>
        </w:rPr>
        <w:t>– [1*10</w:t>
      </w:r>
      <w:r w:rsidRPr="00C81685">
        <w:rPr>
          <w:color w:val="000000"/>
          <w:vertAlign w:val="superscript"/>
        </w:rPr>
        <w:t>-5</w:t>
      </w:r>
      <w:r w:rsidRPr="00C81685">
        <w:rPr>
          <w:color w:val="000000"/>
        </w:rPr>
        <w:t xml:space="preserve">, 0.017], </w:t>
      </w:r>
      <w:proofErr w:type="spellStart"/>
      <w:r w:rsidRPr="00C81685">
        <w:rPr>
          <w:color w:val="000000"/>
        </w:rPr>
        <w:t>g</w:t>
      </w:r>
      <w:r w:rsidR="0031792D">
        <w:rPr>
          <w:color w:val="000000"/>
        </w:rPr>
        <w:t>sAHP</w:t>
      </w:r>
      <w:proofErr w:type="spellEnd"/>
      <w:r w:rsidRPr="00C81685">
        <w:rPr>
          <w:color w:val="000000"/>
        </w:rPr>
        <w:t xml:space="preserve"> – [1*10</w:t>
      </w:r>
      <w:r w:rsidRPr="00C81685">
        <w:rPr>
          <w:color w:val="000000"/>
          <w:vertAlign w:val="superscript"/>
        </w:rPr>
        <w:t>-5</w:t>
      </w:r>
      <w:r w:rsidRPr="00C81685">
        <w:rPr>
          <w:color w:val="000000"/>
        </w:rPr>
        <w:t>, 0.00</w:t>
      </w:r>
      <w:r w:rsidR="0031792D">
        <w:rPr>
          <w:color w:val="000000"/>
        </w:rPr>
        <w:t>8</w:t>
      </w:r>
      <w:r w:rsidRPr="00C81685">
        <w:rPr>
          <w:color w:val="000000"/>
        </w:rPr>
        <w:t>], V</w:t>
      </w:r>
      <w:r w:rsidRPr="00C81685">
        <w:rPr>
          <w:color w:val="000000"/>
          <w:vertAlign w:val="subscript"/>
        </w:rPr>
        <w:t>1/2</w:t>
      </w:r>
      <w:r w:rsidRPr="00C81685">
        <w:rPr>
          <w:color w:val="000000"/>
        </w:rPr>
        <w:t xml:space="preserve"> </w:t>
      </w:r>
      <w:proofErr w:type="spellStart"/>
      <w:r w:rsidRPr="00C81685">
        <w:rPr>
          <w:color w:val="000000"/>
        </w:rPr>
        <w:t>CaS</w:t>
      </w:r>
      <w:proofErr w:type="spellEnd"/>
      <w:r w:rsidRPr="00C81685">
        <w:rPr>
          <w:color w:val="000000"/>
        </w:rPr>
        <w:t xml:space="preserve"> - [</w:t>
      </w:r>
      <w:r w:rsidR="00A315B5" w:rsidRPr="00C81685">
        <w:rPr>
          <w:color w:val="000000"/>
        </w:rPr>
        <w:t>-33</w:t>
      </w:r>
      <w:r w:rsidRPr="00C81685">
        <w:rPr>
          <w:color w:val="000000"/>
        </w:rPr>
        <w:t>], V</w:t>
      </w:r>
      <w:r w:rsidRPr="00C81685">
        <w:rPr>
          <w:color w:val="000000"/>
          <w:vertAlign w:val="subscript"/>
        </w:rPr>
        <w:t>1/2</w:t>
      </w:r>
      <w:r w:rsidRPr="00C81685">
        <w:rPr>
          <w:color w:val="000000"/>
        </w:rPr>
        <w:t xml:space="preserve"> </w:t>
      </w:r>
      <w:proofErr w:type="spellStart"/>
      <w:r w:rsidRPr="00C81685">
        <w:rPr>
          <w:color w:val="000000"/>
        </w:rPr>
        <w:t>CaT</w:t>
      </w:r>
      <w:proofErr w:type="spellEnd"/>
      <w:r w:rsidRPr="00C81685">
        <w:rPr>
          <w:color w:val="000000"/>
        </w:rPr>
        <w:t xml:space="preserve"> - [</w:t>
      </w:r>
      <w:r w:rsidR="00A315B5" w:rsidRPr="00C81685">
        <w:rPr>
          <w:color w:val="000000"/>
        </w:rPr>
        <w:t>-27.1</w:t>
      </w:r>
      <w:r w:rsidRPr="00C81685">
        <w:rPr>
          <w:color w:val="000000"/>
        </w:rPr>
        <w:t>]</w:t>
      </w:r>
      <w:r w:rsidRPr="00A315B5">
        <w:rPr>
          <w:color w:val="000000"/>
        </w:rPr>
        <w:t>.</w:t>
      </w:r>
      <w:r w:rsidRPr="00C566E3">
        <w:rPr>
          <w:color w:val="000000"/>
        </w:rPr>
        <w:t xml:space="preserve"> </w:t>
      </w:r>
    </w:p>
    <w:p w14:paraId="0C0CA71F" w14:textId="514DBEC2" w:rsidR="00C2692F" w:rsidRDefault="00C566E3" w:rsidP="00C2692F">
      <w:pPr>
        <w:pStyle w:val="Heading1"/>
        <w:spacing w:before="120" w:after="120"/>
      </w:pPr>
      <w:r>
        <w:t>Results</w:t>
      </w:r>
    </w:p>
    <w:p w14:paraId="416FF75A" w14:textId="3717E6BD" w:rsidR="00C566E3" w:rsidRPr="00C566E3" w:rsidRDefault="00C566E3" w:rsidP="00C566E3">
      <w:pPr>
        <w:pStyle w:val="BodyText"/>
      </w:pPr>
      <w:r w:rsidRPr="00C566E3">
        <w:t xml:space="preserve">The two options to model spike frequency adaptation and bursting into model neurons via the approach that groups currents into modules using a segregation approach is illustrated using an example case hippocampal neuron from our previous publication </w:t>
      </w:r>
      <w:r w:rsidRPr="00C566E3">
        <w:fldChar w:fldCharType="begin"/>
      </w:r>
      <w:r w:rsidR="003E680F">
        <w:instrText xml:space="preserve"> ADDIN EN.CITE &lt;EndNote&gt;&lt;Cite&gt;&lt;Author&gt;Hummos&lt;/Author&gt;&lt;Year&gt;2014&lt;/Year&gt;&lt;RecNum&gt;4962&lt;/RecNum&gt;&lt;DisplayText&gt;[8]&lt;/DisplayText&gt;&lt;record&gt;&lt;rec-number&gt;4962&lt;/rec-number&gt;&lt;foreign-keys&gt;&lt;key app="EN" db-id="wadfdsrz59rdaae9xsp59eaife9etwspvrz5" timestamp="1571960826"&gt;4962&lt;/key&gt;&lt;/foreign-keys&gt;&lt;ref-type name="Journal Article"&gt;17&lt;/ref-type&gt;&lt;contributors&gt;&lt;authors&gt;&lt;author&gt;Hummos, Ali&lt;/author&gt;&lt;author&gt;Franklin Charles, C.&lt;/author&gt;&lt;author&gt;Nair Satish, S.&lt;/author&gt;&lt;/authors&gt;&lt;/contributors&gt;&lt;titles&gt;&lt;title&gt;Intrinsic mechanisms stabilize encoding and retrieval circuits differentially in a hippocampal network model&lt;/title&gt;&lt;secondary-title&gt;Hippocampus&lt;/secondary-title&gt;&lt;short-title&gt;Intrinsic mechanisms stabilize encoding and retrieval circuits differentially in a hippocampal network model&lt;/short-title&gt;&lt;/titles&gt;&lt;periodical&gt;&lt;full-title&gt;Hippocampus&lt;/full-title&gt;&lt;abbr-1&gt;Hippocampus&lt;/abbr-1&gt;&lt;abbr-2&gt;Hippocampus&lt;/abbr-2&gt;&lt;/periodical&gt;&lt;pages&gt;1430-1448&lt;/pages&gt;&lt;volume&gt;24&lt;/volume&gt;&lt;number&gt;12&lt;/number&gt;&lt;keywords&gt;&lt;keyword&gt;Pattern separation and completion&lt;/keyword&gt;&lt;keyword&gt;biologically realistic model&lt;/keyword&gt;&lt;keyword&gt;acetylcholine&lt;/keyword&gt;&lt;keyword&gt;seizures&lt;/keyword&gt;&lt;keyword&gt;interneurons&lt;/keyword&gt;&lt;/keywords&gt;&lt;dates&gt;&lt;year&gt;2014&lt;/year&gt;&lt;pub-dates&gt;&lt;date&gt;2014/12/01&lt;/date&gt;&lt;/pub-dates&gt;&lt;/dates&gt;&lt;isbn&gt;1050-9631&lt;/isbn&gt;&lt;urls&gt;&lt;related-urls&gt;&lt;url&gt;https://doi.org/10.1002/hipo.22324https://onlinelibrary.wiley.com/doi/pdf/10.1002/hipo.22324&lt;/url&gt;&lt;/related-urls&gt;&lt;/urls&gt;&lt;custom2&gt;PMC24978936&lt;/custom2&gt;&lt;electronic-resource-num&gt;10.1002/hipo.22324&lt;/electronic-resource-num&gt;&lt;access-date&gt;2018/05/08&lt;/access-date&gt;&lt;/record&gt;&lt;/Cite&gt;&lt;/EndNote&gt;</w:instrText>
      </w:r>
      <w:r w:rsidRPr="00C566E3">
        <w:fldChar w:fldCharType="separate"/>
      </w:r>
      <w:r w:rsidR="003E680F">
        <w:rPr>
          <w:noProof/>
        </w:rPr>
        <w:t>[8]</w:t>
      </w:r>
      <w:r w:rsidRPr="00C566E3">
        <w:fldChar w:fldCharType="end"/>
      </w:r>
      <w:r w:rsidRPr="00C566E3">
        <w:t xml:space="preserve">. </w:t>
      </w:r>
    </w:p>
    <w:p w14:paraId="7F711CEB" w14:textId="77777777" w:rsidR="00C566E3" w:rsidRPr="00C566E3" w:rsidRDefault="00C566E3" w:rsidP="00C566E3">
      <w:pPr>
        <w:rPr>
          <w:b/>
          <w:bCs/>
        </w:rPr>
      </w:pPr>
      <w:r w:rsidRPr="00C566E3">
        <w:rPr>
          <w:b/>
          <w:bCs/>
        </w:rPr>
        <w:t>Design of two current modules to implement spike frequency adaptation and bursting</w:t>
      </w:r>
    </w:p>
    <w:p w14:paraId="0B90A691" w14:textId="1DE31494" w:rsidR="00D93BAE" w:rsidRDefault="00C566E3" w:rsidP="00C566E3">
      <w:pPr>
        <w:rPr>
          <w:color w:val="000000"/>
        </w:rPr>
      </w:pPr>
      <w:r w:rsidRPr="00C566E3">
        <w:rPr>
          <w:u w:val="single"/>
        </w:rPr>
        <w:t>Nap-KM module</w:t>
      </w:r>
      <w:r w:rsidRPr="00C566E3">
        <w:t xml:space="preserve">. This module adds the neurocomputational property of adaptation and bursting, depending on the </w:t>
      </w:r>
      <w:r w:rsidRPr="00C566E3">
        <w:t xml:space="preserve">parameters of the two currents. Both channels can be segregated up to ~-60 mV in this model. </w:t>
      </w:r>
      <w:r w:rsidRPr="00C566E3">
        <w:rPr>
          <w:color w:val="000000"/>
        </w:rPr>
        <w:t xml:space="preserve">Optimizing the </w:t>
      </w:r>
    </w:p>
    <w:p w14:paraId="4B485E81" w14:textId="4D6160F1" w:rsidR="00D93BAE" w:rsidRDefault="00FE17D1" w:rsidP="00C566E3">
      <w:pPr>
        <w:rPr>
          <w:color w:val="000000"/>
        </w:rPr>
      </w:pPr>
      <w:r>
        <w:rPr>
          <w:noProof/>
        </w:rPr>
        <mc:AlternateContent>
          <mc:Choice Requires="wps">
            <w:drawing>
              <wp:anchor distT="0" distB="0" distL="114300" distR="114300" simplePos="0" relativeHeight="251668480" behindDoc="0" locked="0" layoutInCell="1" allowOverlap="1" wp14:anchorId="0724481C" wp14:editId="558D321B">
                <wp:simplePos x="0" y="0"/>
                <wp:positionH relativeFrom="margin">
                  <wp:align>right</wp:align>
                </wp:positionH>
                <wp:positionV relativeFrom="paragraph">
                  <wp:posOffset>2402840</wp:posOffset>
                </wp:positionV>
                <wp:extent cx="28956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895600" cy="457200"/>
                        </a:xfrm>
                        <a:prstGeom prst="rect">
                          <a:avLst/>
                        </a:prstGeom>
                        <a:solidFill>
                          <a:prstClr val="white"/>
                        </a:solidFill>
                        <a:ln>
                          <a:noFill/>
                        </a:ln>
                      </wps:spPr>
                      <wps:txbx>
                        <w:txbxContent>
                          <w:p w14:paraId="1CCD09DE" w14:textId="0E2E6E47" w:rsidR="00D93BAE" w:rsidRPr="00CE5E14" w:rsidRDefault="00D93BAE" w:rsidP="00D93BAE">
                            <w:pPr>
                              <w:pStyle w:val="Caption"/>
                              <w:rPr>
                                <w:noProof/>
                              </w:rPr>
                            </w:pPr>
                            <w:r>
                              <w:t xml:space="preserve">Figure </w:t>
                            </w:r>
                            <w:r w:rsidR="004929F3">
                              <w:t>1</w:t>
                            </w:r>
                            <w:r>
                              <w:t>. Segregation of currents into three modules – passive (H), adapting/bursting (Nap, KM) and Spiking (Nat, Kdr) modules in the example hippocampal CA3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type w14:anchorId="0724481C" id="_x0000_t202" coordsize="21600,21600" o:spt="202" path="m,l,21600r21600,l21600,xe">
                <v:stroke joinstyle="miter"/>
                <v:path gradientshapeok="t" o:connecttype="rect"/>
              </v:shapetype>
              <v:shape id="Text Box 12" o:spid="_x0000_s1026" type="#_x0000_t202" style="position:absolute;margin-left:176.8pt;margin-top:189.2pt;width:228pt;height:36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" stroked="f">
                <v:textbox inset="0,0,0,0">
                  <w:txbxContent>
                    <w:p w14:paraId="1CCD09DE" w14:textId="0E2E6E47" w:rsidR="00D93BAE" w:rsidRPr="00CE5E14" w:rsidRDefault="00D93BAE" w:rsidP="00D93BAE">
                      <w:pPr>
                        <w:pStyle w:val="Caption"/>
                        <w:rPr>
                          <w:noProof/>
                        </w:rPr>
                      </w:pPr>
                      <w:r>
                        <w:t xml:space="preserve">Figure </w:t>
                      </w:r>
                      <w:r w:rsidR="004929F3">
                        <w:t>1</w:t>
                      </w:r>
                      <w:r>
                        <w:t>. Segregation of currents into three modules – passive (H), adapting/bursting (Nap, KM) and Spiking (Nat, Kdr) modules in the example hippocampal CA3 cell.</w:t>
                      </w:r>
                    </w:p>
                  </w:txbxContent>
                </v:textbox>
                <w10:wrap anchorx="margin"/>
              </v:shape>
            </w:pict>
          </mc:Fallback>
        </mc:AlternateContent>
      </w:r>
      <w:r>
        <w:rPr>
          <w:noProof/>
        </w:rPr>
        <w:drawing>
          <wp:inline distT="0" distB="0" distL="0" distR="0" wp14:anchorId="663019F2" wp14:editId="1164DBC4">
            <wp:extent cx="3108960" cy="24872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487295"/>
                    </a:xfrm>
                    <a:prstGeom prst="rect">
                      <a:avLst/>
                    </a:prstGeom>
                    <a:noFill/>
                    <a:ln>
                      <a:noFill/>
                    </a:ln>
                  </pic:spPr>
                </pic:pic>
              </a:graphicData>
            </a:graphic>
          </wp:inline>
        </w:drawing>
      </w:r>
    </w:p>
    <w:p w14:paraId="61869CEA" w14:textId="00476103" w:rsidR="00D93BAE" w:rsidRDefault="00D93BAE" w:rsidP="00C566E3">
      <w:pPr>
        <w:rPr>
          <w:color w:val="000000"/>
        </w:rPr>
      </w:pPr>
    </w:p>
    <w:p w14:paraId="03CE77E1" w14:textId="3F627B7D" w:rsidR="00D93BAE" w:rsidRDefault="00D93BAE" w:rsidP="00C566E3">
      <w:pPr>
        <w:rPr>
          <w:color w:val="000000"/>
        </w:rPr>
      </w:pPr>
    </w:p>
    <w:p w14:paraId="2EA8B977" w14:textId="52746572" w:rsidR="00D93BAE" w:rsidRDefault="00D93BAE" w:rsidP="00C566E3">
      <w:pPr>
        <w:rPr>
          <w:color w:val="000000"/>
        </w:rPr>
      </w:pPr>
    </w:p>
    <w:p w14:paraId="316F72C9" w14:textId="5279AC82" w:rsidR="00C566E3" w:rsidRPr="00C566E3" w:rsidRDefault="00C566E3" w:rsidP="00C566E3">
      <w:pPr>
        <w:rPr>
          <w:color w:val="000000"/>
        </w:rPr>
      </w:pPr>
      <w:r w:rsidRPr="00C566E3">
        <w:rPr>
          <w:color w:val="000000"/>
        </w:rPr>
        <w:t xml:space="preserve">parameters after implementing the segregation </w:t>
      </w:r>
      <w:r w:rsidRPr="00DC10A0">
        <w:rPr>
          <w:color w:val="000000"/>
        </w:rPr>
        <w:t xml:space="preserve">(Fig. </w:t>
      </w:r>
      <w:r w:rsidR="00DC10A0" w:rsidRPr="00DC10A0">
        <w:rPr>
          <w:color w:val="000000"/>
        </w:rPr>
        <w:t>1</w:t>
      </w:r>
      <w:r w:rsidRPr="00DC10A0">
        <w:rPr>
          <w:color w:val="000000"/>
        </w:rPr>
        <w:t>)</w:t>
      </w:r>
      <w:r w:rsidRPr="00C566E3">
        <w:rPr>
          <w:color w:val="000000"/>
        </w:rPr>
        <w:t xml:space="preserve"> resulted in the following parameter set that provided the adapting characteristic shown in </w:t>
      </w:r>
      <w:r w:rsidRPr="00C81685">
        <w:rPr>
          <w:color w:val="000000"/>
        </w:rPr>
        <w:t>Fig. 2B</w:t>
      </w:r>
      <w:r w:rsidRPr="00C566E3">
        <w:rPr>
          <w:color w:val="000000"/>
        </w:rPr>
        <w:t xml:space="preserve"> that matches the biological trace in [</w:t>
      </w:r>
      <w:r w:rsidR="00A315B5" w:rsidRPr="00C81685">
        <w:rPr>
          <w:color w:val="000000"/>
        </w:rPr>
        <w:t>6</w:t>
      </w:r>
      <w:r w:rsidRPr="00C566E3">
        <w:rPr>
          <w:color w:val="000000"/>
        </w:rPr>
        <w:t xml:space="preserve">] well: </w:t>
      </w:r>
      <w:proofErr w:type="spellStart"/>
      <w:r w:rsidRPr="00C566E3">
        <w:rPr>
          <w:color w:val="000000"/>
        </w:rPr>
        <w:t>gNap</w:t>
      </w:r>
      <w:proofErr w:type="spellEnd"/>
      <w:r w:rsidRPr="00C566E3">
        <w:rPr>
          <w:color w:val="000000"/>
        </w:rPr>
        <w:t xml:space="preserve"> =</w:t>
      </w:r>
      <w:r w:rsidR="00A315B5" w:rsidRPr="00C81685">
        <w:rPr>
          <w:color w:val="000000"/>
        </w:rPr>
        <w:t>0.0005</w:t>
      </w:r>
      <w:r w:rsidRPr="00C81685">
        <w:rPr>
          <w:color w:val="000000"/>
        </w:rPr>
        <w:t xml:space="preserve">, </w:t>
      </w:r>
      <w:proofErr w:type="spellStart"/>
      <w:r w:rsidRPr="00C81685">
        <w:rPr>
          <w:color w:val="000000"/>
        </w:rPr>
        <w:t>gKM</w:t>
      </w:r>
      <w:proofErr w:type="spellEnd"/>
      <w:r w:rsidRPr="00C81685">
        <w:rPr>
          <w:color w:val="000000"/>
        </w:rPr>
        <w:t xml:space="preserve"> = </w:t>
      </w:r>
      <w:r w:rsidR="00A315B5" w:rsidRPr="00C81685">
        <w:rPr>
          <w:color w:val="000000"/>
        </w:rPr>
        <w:t>0.017</w:t>
      </w:r>
      <w:r w:rsidRPr="00C81685">
        <w:rPr>
          <w:color w:val="000000"/>
        </w:rPr>
        <w:t>, V</w:t>
      </w:r>
      <w:r w:rsidRPr="00C81685">
        <w:rPr>
          <w:color w:val="000000"/>
          <w:vertAlign w:val="subscript"/>
        </w:rPr>
        <w:t>1/2</w:t>
      </w:r>
      <w:r w:rsidRPr="00C81685">
        <w:rPr>
          <w:color w:val="000000"/>
        </w:rPr>
        <w:t xml:space="preserve"> Nap = </w:t>
      </w:r>
      <w:r w:rsidR="00A315B5" w:rsidRPr="00C81685">
        <w:rPr>
          <w:color w:val="000000"/>
        </w:rPr>
        <w:t>-48</w:t>
      </w:r>
      <w:r w:rsidRPr="00C81685">
        <w:rPr>
          <w:color w:val="000000"/>
        </w:rPr>
        <w:t>, V</w:t>
      </w:r>
      <w:r w:rsidRPr="00C81685">
        <w:rPr>
          <w:color w:val="000000"/>
          <w:vertAlign w:val="subscript"/>
        </w:rPr>
        <w:t>1/2</w:t>
      </w:r>
      <w:r w:rsidRPr="00C81685">
        <w:rPr>
          <w:color w:val="000000"/>
        </w:rPr>
        <w:t xml:space="preserve"> KM = </w:t>
      </w:r>
      <w:r w:rsidR="00A315B5" w:rsidRPr="00C81685">
        <w:rPr>
          <w:color w:val="000000"/>
        </w:rPr>
        <w:t>35</w:t>
      </w:r>
      <w:r w:rsidRPr="00C81685">
        <w:rPr>
          <w:color w:val="000000"/>
        </w:rPr>
        <w:t>.</w:t>
      </w:r>
      <w:r w:rsidRPr="00C566E3">
        <w:rPr>
          <w:color w:val="000000"/>
        </w:rPr>
        <w:t xml:space="preserve">  </w:t>
      </w:r>
    </w:p>
    <w:p w14:paraId="19582719" w14:textId="4CE9E65C" w:rsidR="00C566E3" w:rsidRPr="00B77181" w:rsidRDefault="00C566E3" w:rsidP="00B77181">
      <w:pPr>
        <w:ind w:firstLine="360"/>
        <w:rPr>
          <w:sz w:val="24"/>
          <w:szCs w:val="24"/>
        </w:rPr>
      </w:pPr>
      <w:r w:rsidRPr="00C566E3">
        <w:t xml:space="preserve">Adaptation happens when KM current builds up enough to counteract the Nap current. The time constant of KM controls the </w:t>
      </w:r>
      <w:r w:rsidR="00582132">
        <w:t xml:space="preserve">duration of the </w:t>
      </w:r>
      <w:r w:rsidRPr="00C566E3">
        <w:t xml:space="preserve">initial high frequency of the adapting characteristic. On the other hand, increasing </w:t>
      </w:r>
      <w:proofErr w:type="spellStart"/>
      <w:r w:rsidRPr="00C566E3">
        <w:t>gKM</w:t>
      </w:r>
      <w:proofErr w:type="spellEnd"/>
      <w:r w:rsidRPr="00C566E3">
        <w:t xml:space="preserve"> </w:t>
      </w:r>
      <w:r w:rsidR="00A20F15">
        <w:t xml:space="preserve">and </w:t>
      </w:r>
      <w:proofErr w:type="spellStart"/>
      <w:r w:rsidR="00A20F15">
        <w:t>gNap</w:t>
      </w:r>
      <w:proofErr w:type="spellEnd"/>
      <w:r w:rsidR="00A20F15">
        <w:t xml:space="preserve"> together </w:t>
      </w:r>
      <w:r w:rsidRPr="00C566E3">
        <w:t>(~0.17</w:t>
      </w:r>
      <w:r w:rsidR="00A20F15">
        <w:t xml:space="preserve"> and 0.001, respectively</w:t>
      </w:r>
      <w:r w:rsidRPr="00C566E3">
        <w:t xml:space="preserve">) shuts off spiking and results in a bursting characteristic. </w:t>
      </w:r>
      <w:r w:rsidRPr="00C566E3">
        <w:rPr>
          <w:color w:val="000000"/>
        </w:rPr>
        <w:t xml:space="preserve">Importantly, without such a segregation of the current modules, it was very difficult to hand-tune the parameters due to the interactions between the currents. Such interaction effects resulted in changes to spiking properties affecting passive properties, and so on. This makes the tuning process very difficult, for both hand- and automated-tuning scenarios </w:t>
      </w:r>
      <w:r w:rsidRPr="00C566E3">
        <w:rPr>
          <w:color w:val="000000"/>
        </w:rPr>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rPr>
          <w:color w:val="000000"/>
        </w:rPr>
        <w:instrText xml:space="preserve"> ADDIN EN.CITE </w:instrText>
      </w:r>
      <w:r w:rsidRPr="00C566E3">
        <w:rPr>
          <w:color w:val="000000"/>
        </w:rPr>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rPr>
          <w:color w:val="000000"/>
        </w:rPr>
        <w:instrText xml:space="preserve"> ADDIN EN.CITE.DATA </w:instrText>
      </w:r>
      <w:r w:rsidRPr="00C566E3">
        <w:rPr>
          <w:color w:val="000000"/>
        </w:rPr>
      </w:r>
      <w:r w:rsidRPr="00C566E3">
        <w:rPr>
          <w:color w:val="000000"/>
        </w:rPr>
        <w:fldChar w:fldCharType="end"/>
      </w:r>
      <w:r w:rsidRPr="00C566E3">
        <w:rPr>
          <w:color w:val="000000"/>
        </w:rPr>
      </w:r>
      <w:r w:rsidRPr="00C566E3">
        <w:rPr>
          <w:color w:val="000000"/>
        </w:rPr>
        <w:fldChar w:fldCharType="separate"/>
      </w:r>
      <w:r w:rsidRPr="00C566E3">
        <w:rPr>
          <w:noProof/>
          <w:color w:val="000000"/>
        </w:rPr>
        <w:t>[1]</w:t>
      </w:r>
      <w:r w:rsidRPr="00C566E3">
        <w:rPr>
          <w:color w:val="000000"/>
        </w:rPr>
        <w:fldChar w:fldCharType="end"/>
      </w:r>
      <w:r w:rsidRPr="00C566E3">
        <w:rPr>
          <w:color w:val="000000"/>
        </w:rPr>
        <w:t xml:space="preserve">. </w:t>
      </w:r>
      <w:r w:rsidR="00A20F15">
        <w:rPr>
          <w:color w:val="000000"/>
        </w:rPr>
        <w:t xml:space="preserve">This </w:t>
      </w:r>
      <w:proofErr w:type="gramStart"/>
      <w:r w:rsidR="00A20F15">
        <w:rPr>
          <w:color w:val="000000"/>
        </w:rPr>
        <w:t>particular</w:t>
      </w:r>
      <w:r w:rsidRPr="00C566E3">
        <w:rPr>
          <w:color w:val="000000"/>
        </w:rPr>
        <w:t xml:space="preserve"> neuron</w:t>
      </w:r>
      <w:proofErr w:type="gramEnd"/>
      <w:r w:rsidRPr="00C566E3">
        <w:rPr>
          <w:color w:val="000000"/>
        </w:rPr>
        <w:t xml:space="preserve"> becomes an endogenous spiker if segregation is not implemented (Fig. 2C).</w:t>
      </w:r>
    </w:p>
    <w:p w14:paraId="65E0B4B5" w14:textId="6CE265F3" w:rsidR="00C566E3" w:rsidRDefault="005B476A" w:rsidP="00C566E3">
      <w:pPr>
        <w:rPr>
          <w:sz w:val="24"/>
          <w:szCs w:val="24"/>
          <w:u w:val="single"/>
        </w:rPr>
      </w:pPr>
      <w:r>
        <w:rPr>
          <w:noProof/>
        </w:rPr>
        <w:drawing>
          <wp:inline distT="0" distB="0" distL="0" distR="0" wp14:anchorId="31068C4E" wp14:editId="33C831EA">
            <wp:extent cx="2937510"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0268" cy="2617358"/>
                    </a:xfrm>
                    <a:prstGeom prst="rect">
                      <a:avLst/>
                    </a:prstGeom>
                    <a:noFill/>
                    <a:ln>
                      <a:noFill/>
                    </a:ln>
                  </pic:spPr>
                </pic:pic>
              </a:graphicData>
            </a:graphic>
          </wp:inline>
        </w:drawing>
      </w:r>
    </w:p>
    <w:p w14:paraId="2EC5A882" w14:textId="47995B89" w:rsidR="006F5250" w:rsidRDefault="00DC10A0" w:rsidP="00C566E3">
      <w:pPr>
        <w:rPr>
          <w:sz w:val="24"/>
          <w:szCs w:val="24"/>
          <w:u w:val="single"/>
        </w:rPr>
      </w:pPr>
      <w:r>
        <w:rPr>
          <w:noProof/>
        </w:rPr>
        <w:lastRenderedPageBreak/>
        <mc:AlternateContent>
          <mc:Choice Requires="wps">
            <w:drawing>
              <wp:anchor distT="0" distB="0" distL="114300" distR="114300" simplePos="0" relativeHeight="251664384" behindDoc="0" locked="0" layoutInCell="1" allowOverlap="1" wp14:anchorId="28553C0C" wp14:editId="61597747">
                <wp:simplePos x="0" y="0"/>
                <wp:positionH relativeFrom="margin">
                  <wp:align>left</wp:align>
                </wp:positionH>
                <wp:positionV relativeFrom="paragraph">
                  <wp:posOffset>3175</wp:posOffset>
                </wp:positionV>
                <wp:extent cx="293814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938145" cy="457200"/>
                        </a:xfrm>
                        <a:prstGeom prst="rect">
                          <a:avLst/>
                        </a:prstGeom>
                        <a:solidFill>
                          <a:prstClr val="white"/>
                        </a:solidFill>
                        <a:ln>
                          <a:noFill/>
                        </a:ln>
                      </wps:spPr>
                      <wps:txbx>
                        <w:txbxContent>
                          <w:p w14:paraId="6FDE4E01" w14:textId="550847A3" w:rsidR="006F5250" w:rsidRPr="00CE0F85" w:rsidRDefault="006F5250" w:rsidP="006F5250">
                            <w:pPr>
                              <w:pStyle w:val="Caption"/>
                              <w:rPr>
                                <w:noProof/>
                              </w:rPr>
                            </w:pPr>
                            <w:r>
                              <w:t>Figures 2B and 2C. Adapting CA3 Pyramidal cell when segregated (left) and unsegregated(right).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28553C0C" id="Text Box 16" o:spid="_x0000_s1027" type="#_x0000_t202" style="position:absolute;margin-left:0;margin-top:.25pt;width:231.35pt;height:36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" stroked="f">
                <v:textbox inset="0,0,0,0">
                  <w:txbxContent>
                    <w:p w14:paraId="6FDE4E01" w14:textId="550847A3" w:rsidR="006F5250" w:rsidRPr="00CE0F85" w:rsidRDefault="006F5250" w:rsidP="006F5250">
                      <w:pPr>
                        <w:pStyle w:val="Caption"/>
                        <w:rPr>
                          <w:noProof/>
                        </w:rPr>
                      </w:pPr>
                      <w:r>
                        <w:t>Figures 2B and 2C. Adapting CA3 Pyramidal cell when segregated (left) and unsegregated(right).</w:t>
                      </w:r>
                    </w:p>
                  </w:txbxContent>
                </v:textbox>
                <w10:wrap anchorx="margin"/>
              </v:shape>
            </w:pict>
          </mc:Fallback>
        </mc:AlternateContent>
      </w:r>
    </w:p>
    <w:p w14:paraId="788180A8" w14:textId="54512230" w:rsidR="00C566E3" w:rsidRDefault="00C566E3" w:rsidP="00C566E3">
      <w:pPr>
        <w:rPr>
          <w:sz w:val="24"/>
          <w:szCs w:val="24"/>
          <w:u w:val="single"/>
        </w:rPr>
      </w:pPr>
    </w:p>
    <w:p w14:paraId="1B31A55E" w14:textId="77777777" w:rsidR="00C566E3" w:rsidRDefault="00C566E3" w:rsidP="00C566E3">
      <w:pPr>
        <w:rPr>
          <w:sz w:val="24"/>
          <w:szCs w:val="24"/>
          <w:u w:val="single"/>
        </w:rPr>
      </w:pPr>
    </w:p>
    <w:p w14:paraId="5AA1D632" w14:textId="77777777" w:rsidR="00C566E3" w:rsidRDefault="00C566E3" w:rsidP="00C566E3">
      <w:pPr>
        <w:rPr>
          <w:sz w:val="24"/>
          <w:szCs w:val="24"/>
          <w:u w:val="single"/>
        </w:rPr>
      </w:pPr>
    </w:p>
    <w:p w14:paraId="7943A74B" w14:textId="6A321FC7" w:rsidR="00D93BAE" w:rsidRDefault="00C566E3" w:rsidP="00C566E3">
      <w:pPr>
        <w:rPr>
          <w:color w:val="000000"/>
        </w:rPr>
      </w:pPr>
      <w:proofErr w:type="spellStart"/>
      <w:r w:rsidRPr="00C566E3">
        <w:rPr>
          <w:u w:val="single"/>
        </w:rPr>
        <w:t>CaS</w:t>
      </w:r>
      <w:proofErr w:type="spellEnd"/>
      <w:r w:rsidRPr="00C566E3">
        <w:rPr>
          <w:u w:val="single"/>
        </w:rPr>
        <w:t>-</w:t>
      </w:r>
      <w:proofErr w:type="spellStart"/>
      <w:r w:rsidRPr="00C566E3">
        <w:rPr>
          <w:u w:val="single"/>
        </w:rPr>
        <w:t>CaT</w:t>
      </w:r>
      <w:proofErr w:type="spellEnd"/>
      <w:r w:rsidRPr="00C566E3">
        <w:rPr>
          <w:u w:val="single"/>
        </w:rPr>
        <w:t>-</w:t>
      </w:r>
      <w:r w:rsidR="0031792D">
        <w:rPr>
          <w:u w:val="single"/>
        </w:rPr>
        <w:t>sAHP</w:t>
      </w:r>
      <w:r w:rsidRPr="00C566E3">
        <w:rPr>
          <w:u w:val="single"/>
        </w:rPr>
        <w:t xml:space="preserve"> module</w:t>
      </w:r>
      <w:r w:rsidRPr="00C566E3">
        <w:t>:</w:t>
      </w:r>
      <w:r>
        <w:rPr>
          <w:sz w:val="24"/>
          <w:szCs w:val="24"/>
        </w:rPr>
        <w:t xml:space="preserve"> </w:t>
      </w:r>
      <w:r w:rsidRPr="00C81685">
        <w:t>This second option to add ad</w:t>
      </w:r>
      <w:r w:rsidRPr="00C566E3">
        <w:t xml:space="preserve">aptation/bursting involves three currents. </w:t>
      </w:r>
      <w:proofErr w:type="spellStart"/>
      <w:r w:rsidR="0031792D">
        <w:t>CaS</w:t>
      </w:r>
      <w:proofErr w:type="spellEnd"/>
      <w:r w:rsidR="0031792D">
        <w:t xml:space="preserve"> is</w:t>
      </w:r>
      <w:r w:rsidRPr="00C566E3">
        <w:t xml:space="preserve"> segregated at -</w:t>
      </w:r>
      <w:r w:rsidR="006978BD">
        <w:t>64</w:t>
      </w:r>
      <w:r w:rsidR="00A20F15">
        <w:t xml:space="preserve"> while</w:t>
      </w:r>
      <w:r w:rsidRPr="00C566E3">
        <w:t xml:space="preserve"> </w:t>
      </w:r>
      <w:proofErr w:type="spellStart"/>
      <w:r w:rsidRPr="00C566E3">
        <w:t>CaT</w:t>
      </w:r>
      <w:proofErr w:type="spellEnd"/>
      <w:r w:rsidR="0031792D">
        <w:t xml:space="preserve"> and sAHP</w:t>
      </w:r>
      <w:r w:rsidRPr="00C566E3">
        <w:t xml:space="preserve"> </w:t>
      </w:r>
      <w:r w:rsidR="00A20F15">
        <w:t>remain</w:t>
      </w:r>
      <w:r w:rsidRPr="00C566E3">
        <w:t xml:space="preserve"> unsegregated (Fig. 3</w:t>
      </w:r>
      <w:r w:rsidR="00A20F15">
        <w:t>A</w:t>
      </w:r>
      <w:r w:rsidRPr="00C566E3">
        <w:t xml:space="preserve">). </w:t>
      </w:r>
      <w:r w:rsidRPr="00C566E3">
        <w:rPr>
          <w:color w:val="000000"/>
        </w:rPr>
        <w:t xml:space="preserve">The parameter set after implementing the segregation scheme (Fig. 3A) and tuning are as follows:  </w:t>
      </w:r>
      <w:proofErr w:type="spellStart"/>
      <w:r w:rsidRPr="00C566E3">
        <w:rPr>
          <w:color w:val="000000"/>
        </w:rPr>
        <w:t>gCaS</w:t>
      </w:r>
      <w:proofErr w:type="spellEnd"/>
      <w:r w:rsidRPr="00C566E3">
        <w:rPr>
          <w:color w:val="000000"/>
        </w:rPr>
        <w:t xml:space="preserve"> </w:t>
      </w:r>
      <w:r w:rsidRPr="0031792D">
        <w:rPr>
          <w:color w:val="000000"/>
        </w:rPr>
        <w:t>=</w:t>
      </w:r>
      <w:r w:rsidR="00E76E91" w:rsidRPr="00C81685">
        <w:rPr>
          <w:color w:val="000000"/>
        </w:rPr>
        <w:t>0.00425</w:t>
      </w:r>
      <w:r w:rsidRPr="00C81685">
        <w:rPr>
          <w:color w:val="000000"/>
        </w:rPr>
        <w:t xml:space="preserve">, </w:t>
      </w:r>
      <w:proofErr w:type="spellStart"/>
      <w:r w:rsidRPr="00C81685">
        <w:rPr>
          <w:color w:val="000000"/>
        </w:rPr>
        <w:t>gCaT</w:t>
      </w:r>
      <w:proofErr w:type="spellEnd"/>
      <w:r w:rsidRPr="00C81685">
        <w:rPr>
          <w:color w:val="000000"/>
        </w:rPr>
        <w:t xml:space="preserve"> =</w:t>
      </w:r>
      <w:r w:rsidR="00E76E91" w:rsidRPr="00C81685">
        <w:rPr>
          <w:color w:val="000000"/>
        </w:rPr>
        <w:t>0.001</w:t>
      </w:r>
      <w:r w:rsidRPr="00C81685">
        <w:rPr>
          <w:color w:val="000000"/>
        </w:rPr>
        <w:t xml:space="preserve"> , </w:t>
      </w:r>
      <w:proofErr w:type="spellStart"/>
      <w:r w:rsidRPr="00C81685">
        <w:rPr>
          <w:color w:val="000000"/>
        </w:rPr>
        <w:t>g</w:t>
      </w:r>
      <w:r w:rsidR="00AE3293" w:rsidRPr="00C81685">
        <w:rPr>
          <w:color w:val="000000"/>
        </w:rPr>
        <w:t>sAHP</w:t>
      </w:r>
      <w:proofErr w:type="spellEnd"/>
      <w:r w:rsidRPr="00C81685">
        <w:rPr>
          <w:color w:val="000000"/>
        </w:rPr>
        <w:t xml:space="preserve"> = </w:t>
      </w:r>
      <w:r w:rsidR="00E76E91">
        <w:rPr>
          <w:color w:val="000000"/>
        </w:rPr>
        <w:t>0.005</w:t>
      </w:r>
      <w:r w:rsidRPr="00C566E3">
        <w:rPr>
          <w:color w:val="000000"/>
        </w:rPr>
        <w:t xml:space="preserve">. These resulted in </w:t>
      </w:r>
    </w:p>
    <w:p w14:paraId="4DB991A5" w14:textId="471475B6" w:rsidR="00D93BAE" w:rsidRDefault="00FE17D1" w:rsidP="00C566E3">
      <w:pPr>
        <w:rPr>
          <w:color w:val="000000"/>
        </w:rPr>
      </w:pPr>
      <w:r>
        <w:rPr>
          <w:noProof/>
        </w:rPr>
        <w:drawing>
          <wp:inline distT="0" distB="0" distL="0" distR="0" wp14:anchorId="6F29646A" wp14:editId="20C135DD">
            <wp:extent cx="3108960" cy="24872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2487295"/>
                    </a:xfrm>
                    <a:prstGeom prst="rect">
                      <a:avLst/>
                    </a:prstGeom>
                    <a:noFill/>
                    <a:ln>
                      <a:noFill/>
                    </a:ln>
                  </pic:spPr>
                </pic:pic>
              </a:graphicData>
            </a:graphic>
          </wp:inline>
        </w:drawing>
      </w:r>
    </w:p>
    <w:p w14:paraId="14C56868" w14:textId="798B8D0C" w:rsidR="00D93BAE" w:rsidRDefault="00D93BAE" w:rsidP="00C566E3">
      <w:pPr>
        <w:rPr>
          <w:color w:val="000000"/>
        </w:rPr>
      </w:pPr>
      <w:r>
        <w:rPr>
          <w:noProof/>
        </w:rPr>
        <mc:AlternateContent>
          <mc:Choice Requires="wps">
            <w:drawing>
              <wp:anchor distT="0" distB="0" distL="114300" distR="114300" simplePos="0" relativeHeight="251670528" behindDoc="0" locked="0" layoutInCell="1" allowOverlap="1" wp14:anchorId="2C6F6851" wp14:editId="79AEF599">
                <wp:simplePos x="0" y="0"/>
                <wp:positionH relativeFrom="column">
                  <wp:align>right</wp:align>
                </wp:positionH>
                <wp:positionV relativeFrom="paragraph">
                  <wp:posOffset>15240</wp:posOffset>
                </wp:positionV>
                <wp:extent cx="2938145" cy="685165"/>
                <wp:effectExtent l="0" t="0" r="0" b="635"/>
                <wp:wrapNone/>
                <wp:docPr id="18" name="Text Box 18"/>
                <wp:cNvGraphicFramePr/>
                <a:graphic xmlns:a="http://schemas.openxmlformats.org/drawingml/2006/main">
                  <a:graphicData uri="http://schemas.microsoft.com/office/word/2010/wordprocessingShape">
                    <wps:wsp>
                      <wps:cNvSpPr txBox="1"/>
                      <wps:spPr>
                        <a:xfrm>
                          <a:off x="0" y="0"/>
                          <a:ext cx="2938145" cy="685165"/>
                        </a:xfrm>
                        <a:prstGeom prst="rect">
                          <a:avLst/>
                        </a:prstGeom>
                        <a:solidFill>
                          <a:prstClr val="white"/>
                        </a:solidFill>
                        <a:ln>
                          <a:noFill/>
                        </a:ln>
                      </wps:spPr>
                      <wps:txbx>
                        <w:txbxContent>
                          <w:p w14:paraId="32DBAF76" w14:textId="77777777" w:rsidR="00D93BAE" w:rsidRPr="00CE0F85" w:rsidRDefault="00D93BAE" w:rsidP="00D93BAE">
                            <w:pPr>
                              <w:pStyle w:val="Caption"/>
                              <w:rPr>
                                <w:noProof/>
                              </w:rPr>
                            </w:pPr>
                            <w:r>
                              <w:t>Figure 3A. Segregation of currents into three modules for the second option – passive (H), adapting/bursting (</w:t>
                            </w:r>
                            <w:proofErr w:type="spellStart"/>
                            <w:r>
                              <w:t>CaS</w:t>
                            </w:r>
                            <w:proofErr w:type="spellEnd"/>
                            <w:r>
                              <w:t xml:space="preserve">, </w:t>
                            </w:r>
                            <w:proofErr w:type="spellStart"/>
                            <w:r>
                              <w:t>CaT</w:t>
                            </w:r>
                            <w:proofErr w:type="spellEnd"/>
                            <w:r>
                              <w:t xml:space="preserve"> and sAHP) and Spiking (Nat, Kdr) in the second option for example hippocampal CA3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2C6F6851" id="Text Box 18" o:spid="_x0000_s1028" type="#_x0000_t202" style="position:absolute;margin-left:180.15pt;margin-top:1.2pt;width:231.35pt;height:53.95pt;z-index:251670528;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1MQIAAGkEAAAOAAAAZHJzL2Uyb0RvYy54bWysVMGO2jAQvVfqP1i+lwAti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" stroked="f">
                <v:textbox inset="0,0,0,0">
                  <w:txbxContent>
                    <w:p w14:paraId="32DBAF76" w14:textId="77777777" w:rsidR="00D93BAE" w:rsidRPr="00CE0F85" w:rsidRDefault="00D93BAE" w:rsidP="00D93BAE">
                      <w:pPr>
                        <w:pStyle w:val="Caption"/>
                        <w:rPr>
                          <w:noProof/>
                        </w:rPr>
                      </w:pPr>
                      <w:r>
                        <w:t>Figure 3A. Segregation of currents into three modules for the second option – passive (H), adapting/bursting (</w:t>
                      </w:r>
                      <w:proofErr w:type="spellStart"/>
                      <w:r>
                        <w:t>CaS</w:t>
                      </w:r>
                      <w:proofErr w:type="spellEnd"/>
                      <w:r>
                        <w:t xml:space="preserve">, </w:t>
                      </w:r>
                      <w:proofErr w:type="spellStart"/>
                      <w:r>
                        <w:t>CaT</w:t>
                      </w:r>
                      <w:proofErr w:type="spellEnd"/>
                      <w:r>
                        <w:t xml:space="preserve"> and </w:t>
                      </w:r>
                      <w:proofErr w:type="spellStart"/>
                      <w:r>
                        <w:t>sAHP</w:t>
                      </w:r>
                      <w:proofErr w:type="spellEnd"/>
                      <w:r>
                        <w:t>) and Spiking (Nat, Kdr) in the second option for example hippocampal CA3 cell.</w:t>
                      </w:r>
                    </w:p>
                  </w:txbxContent>
                </v:textbox>
              </v:shape>
            </w:pict>
          </mc:Fallback>
        </mc:AlternateContent>
      </w:r>
    </w:p>
    <w:p w14:paraId="4D3AE00A" w14:textId="77777777" w:rsidR="00D93BAE" w:rsidRDefault="00D93BAE" w:rsidP="00C566E3">
      <w:pPr>
        <w:rPr>
          <w:color w:val="000000"/>
        </w:rPr>
      </w:pPr>
    </w:p>
    <w:p w14:paraId="4E80A1F6" w14:textId="77777777" w:rsidR="00D93BAE" w:rsidRDefault="00D93BAE" w:rsidP="00C566E3">
      <w:pPr>
        <w:rPr>
          <w:color w:val="000000"/>
        </w:rPr>
      </w:pPr>
    </w:p>
    <w:p w14:paraId="15690F98" w14:textId="77777777" w:rsidR="00D93BAE" w:rsidRDefault="00D93BAE" w:rsidP="00C566E3">
      <w:pPr>
        <w:rPr>
          <w:color w:val="000000"/>
        </w:rPr>
      </w:pPr>
    </w:p>
    <w:p w14:paraId="4CC7AB0D" w14:textId="77777777" w:rsidR="00D93BAE" w:rsidRDefault="00D93BAE" w:rsidP="00C566E3">
      <w:pPr>
        <w:rPr>
          <w:color w:val="000000"/>
        </w:rPr>
      </w:pPr>
    </w:p>
    <w:p w14:paraId="4C05DC0B" w14:textId="68DE3A73" w:rsidR="006978BD" w:rsidRPr="006978BD" w:rsidRDefault="006978BD" w:rsidP="006978BD">
      <w:pPr>
        <w:pStyle w:val="NormalWeb"/>
        <w:rPr>
          <w:rFonts w:ascii="Times New Roman" w:hAnsi="Times New Roman" w:cs="Times New Roman"/>
          <w:color w:val="000000"/>
          <w:sz w:val="20"/>
          <w:szCs w:val="20"/>
        </w:rPr>
      </w:pPr>
      <w:r w:rsidRPr="003A2DC9">
        <w:rPr>
          <w:rFonts w:ascii="Times New Roman" w:hAnsi="Times New Roman" w:cs="Times New Roman"/>
          <w:color w:val="000000"/>
          <w:sz w:val="20"/>
          <w:szCs w:val="20"/>
          <w:highlight w:val="yellow"/>
        </w:rPr>
        <w:t xml:space="preserve">a bursting </w:t>
      </w:r>
      <w:proofErr w:type="gramStart"/>
      <w:r w:rsidRPr="003A2DC9">
        <w:rPr>
          <w:rFonts w:ascii="Times New Roman" w:hAnsi="Times New Roman" w:cs="Times New Roman"/>
          <w:color w:val="000000"/>
          <w:sz w:val="20"/>
          <w:szCs w:val="20"/>
          <w:highlight w:val="yellow"/>
        </w:rPr>
        <w:t>profile</w:t>
      </w:r>
      <w:proofErr w:type="gramEnd"/>
      <w:r w:rsidR="00C566E3" w:rsidRPr="003A2DC9">
        <w:rPr>
          <w:rFonts w:ascii="Times New Roman" w:hAnsi="Times New Roman" w:cs="Times New Roman"/>
          <w:color w:val="000000"/>
          <w:sz w:val="20"/>
          <w:szCs w:val="20"/>
          <w:highlight w:val="yellow"/>
        </w:rPr>
        <w:t xml:space="preserve">. </w:t>
      </w:r>
      <w:r w:rsidRPr="003A2DC9">
        <w:rPr>
          <w:rFonts w:ascii="Times New Roman" w:hAnsi="Times New Roman" w:cs="Times New Roman"/>
          <w:color w:val="000000"/>
          <w:sz w:val="20"/>
          <w:szCs w:val="20"/>
          <w:highlight w:val="yellow"/>
        </w:rPr>
        <w:t xml:space="preserve">Without segregation, the Cas-Cat-sAHP module will offset RMP by around 0.3mV. </w:t>
      </w:r>
      <w:proofErr w:type="spellStart"/>
      <w:r w:rsidRPr="003A2DC9">
        <w:rPr>
          <w:rFonts w:ascii="Times New Roman" w:hAnsi="Times New Roman" w:cs="Times New Roman"/>
          <w:color w:val="000000"/>
          <w:sz w:val="20"/>
          <w:szCs w:val="20"/>
          <w:highlight w:val="yellow"/>
        </w:rPr>
        <w:t>Eleak</w:t>
      </w:r>
      <w:proofErr w:type="spellEnd"/>
      <w:r w:rsidRPr="003A2DC9">
        <w:rPr>
          <w:rFonts w:ascii="Times New Roman" w:hAnsi="Times New Roman" w:cs="Times New Roman"/>
          <w:color w:val="000000"/>
          <w:sz w:val="20"/>
          <w:szCs w:val="20"/>
          <w:highlight w:val="yellow"/>
        </w:rPr>
        <w:t xml:space="preserve"> can be altered to account for this change; however, altering </w:t>
      </w:r>
      <w:proofErr w:type="spellStart"/>
      <w:r w:rsidRPr="003A2DC9">
        <w:rPr>
          <w:rFonts w:ascii="Times New Roman" w:hAnsi="Times New Roman" w:cs="Times New Roman"/>
          <w:color w:val="000000"/>
          <w:sz w:val="20"/>
          <w:szCs w:val="20"/>
          <w:highlight w:val="yellow"/>
        </w:rPr>
        <w:t>Eleak</w:t>
      </w:r>
      <w:proofErr w:type="spellEnd"/>
      <w:r w:rsidRPr="003A2DC9">
        <w:rPr>
          <w:rFonts w:ascii="Times New Roman" w:hAnsi="Times New Roman" w:cs="Times New Roman"/>
          <w:color w:val="000000"/>
          <w:sz w:val="20"/>
          <w:szCs w:val="20"/>
          <w:highlight w:val="yellow"/>
        </w:rPr>
        <w:t xml:space="preserve"> will result in a change in both IBI and spikes per burst. Fixing these differences requires a time consuming retuning of the cell which is less preferable compared to the alternative of segregating the Cas channel slightly above RMP.</w:t>
      </w:r>
    </w:p>
    <w:p w14:paraId="0DA32E35" w14:textId="21AF417A" w:rsidR="00C566E3" w:rsidRPr="00C566E3" w:rsidRDefault="006978BD" w:rsidP="003A2DC9">
      <w:pPr>
        <w:pStyle w:val="NormalWeb"/>
        <w:rPr>
          <w:color w:val="000000"/>
        </w:rPr>
      </w:pPr>
      <w:r>
        <w:rPr>
          <w:color w:val="000000"/>
        </w:rPr>
        <w:t> </w:t>
      </w:r>
    </w:p>
    <w:p w14:paraId="48306C43" w14:textId="1FFA150C" w:rsidR="00C566E3" w:rsidRDefault="0072303E" w:rsidP="0072303E">
      <w:r>
        <w:t xml:space="preserve">       </w:t>
      </w:r>
      <w:r w:rsidR="00C566E3" w:rsidRPr="00C566E3">
        <w:t xml:space="preserve">Bursting is controlled in this module by </w:t>
      </w:r>
      <w:r w:rsidR="00C566E3" w:rsidRPr="00C566E3">
        <w:rPr>
          <w:rFonts w:ascii="Symbol" w:hAnsi="Symbol"/>
        </w:rPr>
        <w:t>t</w:t>
      </w:r>
      <w:r w:rsidR="0031792D">
        <w:rPr>
          <w:vertAlign w:val="subscript"/>
        </w:rPr>
        <w:t>sAHP</w:t>
      </w:r>
      <w:r w:rsidR="00C566E3" w:rsidRPr="00C566E3">
        <w:t xml:space="preserve"> and </w:t>
      </w:r>
      <w:r w:rsidR="00C566E3" w:rsidRPr="00C566E3">
        <w:rPr>
          <w:rFonts w:ascii="Symbol" w:hAnsi="Symbol"/>
        </w:rPr>
        <w:t>t</w:t>
      </w:r>
      <w:r w:rsidR="00C566E3" w:rsidRPr="00C566E3">
        <w:rPr>
          <w:vertAlign w:val="subscript"/>
        </w:rPr>
        <w:t>Ca-pool</w:t>
      </w:r>
      <w:r w:rsidR="00C566E3" w:rsidRPr="00C566E3">
        <w:t xml:space="preserve">. </w:t>
      </w:r>
      <w:r w:rsidR="00C566E3" w:rsidRPr="00C566E3">
        <w:rPr>
          <w:rFonts w:ascii="Symbol" w:hAnsi="Symbol"/>
        </w:rPr>
        <w:t>t</w:t>
      </w:r>
      <w:r w:rsidR="0031792D">
        <w:rPr>
          <w:vertAlign w:val="subscript"/>
        </w:rPr>
        <w:t>sAHP</w:t>
      </w:r>
      <w:r w:rsidR="00C566E3" w:rsidRPr="00C566E3">
        <w:t xml:space="preserve"> can be increased or decreased largely independently to increase or decrease, respectively, the number of spikes per burst. Similarly, </w:t>
      </w:r>
      <w:r w:rsidR="00C566E3" w:rsidRPr="00C566E3">
        <w:rPr>
          <w:rFonts w:ascii="Symbol" w:hAnsi="Symbol"/>
        </w:rPr>
        <w:t>t</w:t>
      </w:r>
      <w:r w:rsidR="00C566E3" w:rsidRPr="00C566E3">
        <w:rPr>
          <w:vertAlign w:val="subscript"/>
        </w:rPr>
        <w:t>Ca-pool</w:t>
      </w:r>
      <w:r w:rsidR="00C566E3" w:rsidRPr="00C566E3">
        <w:t xml:space="preserve"> can be increased or decreased almost independently to increase or decrease, respectively, the inter-best interval. </w:t>
      </w:r>
    </w:p>
    <w:p w14:paraId="5FDBA00E" w14:textId="2EC63E57" w:rsidR="0072303E" w:rsidRDefault="0072303E" w:rsidP="0072303E">
      <w:r>
        <w:t xml:space="preserve">    </w:t>
      </w:r>
      <w:r w:rsidR="00211AAF">
        <w:t>S</w:t>
      </w:r>
      <w:r>
        <w:t xml:space="preserve">ome interesting </w:t>
      </w:r>
      <w:r w:rsidRPr="0045642C">
        <w:rPr>
          <w:b/>
          <w:bCs/>
        </w:rPr>
        <w:t>neural dynamic characteristics</w:t>
      </w:r>
      <w:r>
        <w:t xml:space="preserve"> that we noted for the Nap-KM and </w:t>
      </w:r>
      <w:proofErr w:type="spellStart"/>
      <w:r>
        <w:t>CaS</w:t>
      </w:r>
      <w:proofErr w:type="spellEnd"/>
      <w:r>
        <w:t>-</w:t>
      </w:r>
      <w:proofErr w:type="spellStart"/>
      <w:r>
        <w:t>CaT</w:t>
      </w:r>
      <w:proofErr w:type="spellEnd"/>
      <w:r>
        <w:t xml:space="preserve">-sAHP modules were as follows (Fig. </w:t>
      </w:r>
      <w:r w:rsidR="00E94C00">
        <w:t>3B</w:t>
      </w:r>
      <w:r>
        <w:t>): (</w:t>
      </w:r>
      <w:proofErr w:type="spellStart"/>
      <w:r>
        <w:t>i</w:t>
      </w:r>
      <w:proofErr w:type="spellEnd"/>
      <w:r>
        <w:t xml:space="preserve">) the ranges of the inter-burst interval (IBI) for the Nap-KM module are set by the lower/higher biological ranges for the time constant of the KM current, of 46 ms and 120 ms, respectively (REF). The maximum spike frequency was 125 Hz. (ii) For the </w:t>
      </w:r>
      <w:proofErr w:type="spellStart"/>
      <w:r>
        <w:t>CaS</w:t>
      </w:r>
      <w:proofErr w:type="spellEnd"/>
      <w:r>
        <w:t>-</w:t>
      </w:r>
      <w:proofErr w:type="spellStart"/>
      <w:r>
        <w:t>CaT</w:t>
      </w:r>
      <w:proofErr w:type="spellEnd"/>
      <w:r>
        <w:t xml:space="preserve">-sAHP module, the minimum IBI was 120 ms, set by the minimum time constant for the Ca2+ pool to permit sAHP to activate. Ranges were not found to set the maximum on the IBI in this </w:t>
      </w:r>
      <w:r>
        <w:t xml:space="preserve">case. The maximum spiking frequency for this module was </w:t>
      </w:r>
      <w:r w:rsidR="00E94C00">
        <w:t>77</w:t>
      </w:r>
      <w:r>
        <w:t xml:space="preserve"> Hz, set by the competing effects of </w:t>
      </w:r>
      <w:proofErr w:type="spellStart"/>
      <w:r>
        <w:t>CaS</w:t>
      </w:r>
      <w:proofErr w:type="spellEnd"/>
      <w:r>
        <w:t xml:space="preserve"> that raised the membrane potential to allow for faster spiking but also simultaneously increases activation of sAHP activation that causes inhibition.</w:t>
      </w:r>
    </w:p>
    <w:p w14:paraId="1F1C76C2" w14:textId="06099C6F" w:rsidR="00C878B7" w:rsidRPr="00D93BAE" w:rsidRDefault="00386408" w:rsidP="00C566E3">
      <w:r>
        <w:t xml:space="preserve">    Finally, th</w:t>
      </w:r>
      <w:r w:rsidR="0072303E">
        <w:t xml:space="preserve">e analysis provides the following </w:t>
      </w:r>
      <w:r w:rsidR="0072303E" w:rsidRPr="00644D16">
        <w:rPr>
          <w:b/>
          <w:bCs/>
        </w:rPr>
        <w:t>user tuning guidelines</w:t>
      </w:r>
      <w:r w:rsidR="0072303E">
        <w:t xml:space="preserve"> for designing the Nap-KM module: increasing </w:t>
      </w:r>
      <w:r w:rsidR="0072303E" w:rsidRPr="00644D16">
        <w:rPr>
          <w:rFonts w:ascii="Symbol" w:hAnsi="Symbol"/>
        </w:rPr>
        <w:t>t</w:t>
      </w:r>
      <w:r w:rsidR="0072303E">
        <w:t xml:space="preserve">_KM and </w:t>
      </w:r>
      <w:proofErr w:type="spellStart"/>
      <w:r w:rsidR="0072303E">
        <w:t>gKM</w:t>
      </w:r>
      <w:proofErr w:type="spellEnd"/>
      <w:r w:rsidR="0072303E">
        <w:t xml:space="preserve"> increases IBI; an increase in </w:t>
      </w:r>
      <w:proofErr w:type="spellStart"/>
      <w:r w:rsidR="0072303E">
        <w:t>gNap</w:t>
      </w:r>
      <w:proofErr w:type="spellEnd"/>
      <w:r w:rsidR="0072303E">
        <w:t xml:space="preserve"> increases spike frequency; number of spikes per burst can be increased by increasing </w:t>
      </w:r>
      <w:proofErr w:type="spellStart"/>
      <w:r w:rsidR="0072303E">
        <w:t>gNap</w:t>
      </w:r>
      <w:proofErr w:type="spellEnd"/>
      <w:r w:rsidR="0072303E">
        <w:t xml:space="preserve">, increasing </w:t>
      </w:r>
      <w:r w:rsidR="0072303E" w:rsidRPr="00644D16">
        <w:rPr>
          <w:rFonts w:ascii="Symbol" w:hAnsi="Symbol"/>
        </w:rPr>
        <w:t>t</w:t>
      </w:r>
      <w:r w:rsidR="0072303E">
        <w:t xml:space="preserve">_KM, or decreasing </w:t>
      </w:r>
      <w:proofErr w:type="spellStart"/>
      <w:r w:rsidR="0072303E">
        <w:t>gKM</w:t>
      </w:r>
      <w:proofErr w:type="spellEnd"/>
      <w:r w:rsidR="0072303E">
        <w:t xml:space="preserve"> with the latter being the least effective. Similar guidelines for tuning the </w:t>
      </w:r>
      <w:proofErr w:type="spellStart"/>
      <w:r w:rsidR="0072303E">
        <w:t>CaS</w:t>
      </w:r>
      <w:proofErr w:type="spellEnd"/>
      <w:r w:rsidR="0072303E">
        <w:t>-</w:t>
      </w:r>
      <w:proofErr w:type="spellStart"/>
      <w:r w:rsidR="0072303E">
        <w:t>CaT</w:t>
      </w:r>
      <w:proofErr w:type="spellEnd"/>
      <w:r w:rsidR="0072303E">
        <w:t xml:space="preserve">-sAHP module are as follows: increasing </w:t>
      </w:r>
      <w:r w:rsidR="0072303E" w:rsidRPr="00644D16">
        <w:rPr>
          <w:rFonts w:ascii="Symbol" w:hAnsi="Symbol"/>
        </w:rPr>
        <w:t>t</w:t>
      </w:r>
      <w:r w:rsidR="0072303E">
        <w:t xml:space="preserve">_Ca2+pool and </w:t>
      </w:r>
      <w:r w:rsidR="0072303E" w:rsidRPr="00644D16">
        <w:rPr>
          <w:rFonts w:ascii="Symbol" w:hAnsi="Symbol"/>
        </w:rPr>
        <w:t>t</w:t>
      </w:r>
      <w:r w:rsidR="0072303E">
        <w:t xml:space="preserve">_sAHP increase IBI; spike frequency can be increased by </w:t>
      </w:r>
      <w:proofErr w:type="spellStart"/>
      <w:r w:rsidR="001B32F0">
        <w:t>g</w:t>
      </w:r>
      <w:r w:rsidR="0072303E">
        <w:t>CaS</w:t>
      </w:r>
      <w:proofErr w:type="spellEnd"/>
      <w:r w:rsidR="0072303E">
        <w:t xml:space="preserve">; spikes per burst can be increased by decreasing </w:t>
      </w:r>
      <w:proofErr w:type="spellStart"/>
      <w:r w:rsidR="001B32F0">
        <w:t>g</w:t>
      </w:r>
      <w:r w:rsidR="0072303E">
        <w:t>CaT</w:t>
      </w:r>
      <w:proofErr w:type="spellEnd"/>
      <w:r w:rsidR="0072303E">
        <w:t xml:space="preserve"> or </w:t>
      </w:r>
      <w:proofErr w:type="spellStart"/>
      <w:r w:rsidR="0072303E">
        <w:t>gsAHP</w:t>
      </w:r>
      <w:proofErr w:type="spellEnd"/>
      <w:r w:rsidR="0072303E">
        <w:t xml:space="preserve">, or by increase </w:t>
      </w:r>
      <w:r w:rsidR="0072303E" w:rsidRPr="00644D16">
        <w:rPr>
          <w:rFonts w:ascii="Symbol" w:hAnsi="Symbol"/>
        </w:rPr>
        <w:t>t</w:t>
      </w:r>
      <w:r w:rsidR="0072303E">
        <w:t>_sAHP.</w:t>
      </w:r>
    </w:p>
    <w:p w14:paraId="67929335" w14:textId="620E901B" w:rsidR="00D93BAE" w:rsidRDefault="00FE17D1" w:rsidP="00C566E3">
      <w:pPr>
        <w:rPr>
          <w:b/>
          <w:bCs/>
        </w:rPr>
      </w:pPr>
      <w:r>
        <w:rPr>
          <w:noProof/>
        </w:rPr>
        <mc:AlternateContent>
          <mc:Choice Requires="wps">
            <w:drawing>
              <wp:anchor distT="0" distB="0" distL="114300" distR="114300" simplePos="0" relativeHeight="251672576" behindDoc="0" locked="0" layoutInCell="1" allowOverlap="1" wp14:anchorId="5A4889F1" wp14:editId="0BA8ED8C">
                <wp:simplePos x="0" y="0"/>
                <wp:positionH relativeFrom="column">
                  <wp:posOffset>91440</wp:posOffset>
                </wp:positionH>
                <wp:positionV relativeFrom="paragraph">
                  <wp:posOffset>2418080</wp:posOffset>
                </wp:positionV>
                <wp:extent cx="3169920" cy="304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169920" cy="304800"/>
                        </a:xfrm>
                        <a:prstGeom prst="rect">
                          <a:avLst/>
                        </a:prstGeom>
                        <a:solidFill>
                          <a:prstClr val="white"/>
                        </a:solidFill>
                        <a:ln>
                          <a:noFill/>
                        </a:ln>
                      </wps:spPr>
                      <wps:txbx>
                        <w:txbxContent>
                          <w:p w14:paraId="378B7F77" w14:textId="77777777" w:rsidR="00D93BAE" w:rsidRPr="00CE0F85" w:rsidRDefault="00D93BAE" w:rsidP="00D93BAE">
                            <w:pPr>
                              <w:pStyle w:val="Caption"/>
                              <w:rPr>
                                <w:noProof/>
                              </w:rPr>
                            </w:pPr>
                            <w:r w:rsidRPr="00DC10A0">
                              <w:t>Figure 3B. Spike frequency and Inter-Burst Interval limits for both bursting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A4889F1" id="Text Box 20" o:spid="_x0000_s1029" type="#_x0000_t202" style="position:absolute;margin-left:7.2pt;margin-top:190.4pt;width:249.6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" stroked="f">
                <v:textbox inset="0,0,0,0">
                  <w:txbxContent>
                    <w:p w14:paraId="378B7F77" w14:textId="77777777" w:rsidR="00D93BAE" w:rsidRPr="00CE0F85" w:rsidRDefault="00D93BAE" w:rsidP="00D93BAE">
                      <w:pPr>
                        <w:pStyle w:val="Caption"/>
                        <w:rPr>
                          <w:noProof/>
                        </w:rPr>
                      </w:pPr>
                      <w:r w:rsidRPr="00DC10A0">
                        <w:t>Figure 3B. Spike frequency and Inter-Burst Interval limits for both bursting Modules.</w:t>
                      </w:r>
                    </w:p>
                  </w:txbxContent>
                </v:textbox>
              </v:shape>
            </w:pict>
          </mc:Fallback>
        </mc:AlternateContent>
      </w:r>
      <w:r>
        <w:rPr>
          <w:noProof/>
        </w:rPr>
        <w:drawing>
          <wp:inline distT="0" distB="0" distL="0" distR="0" wp14:anchorId="515AB175" wp14:editId="7C5AF5DC">
            <wp:extent cx="3108960" cy="2487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2487295"/>
                    </a:xfrm>
                    <a:prstGeom prst="rect">
                      <a:avLst/>
                    </a:prstGeom>
                    <a:noFill/>
                    <a:ln>
                      <a:noFill/>
                    </a:ln>
                  </pic:spPr>
                </pic:pic>
              </a:graphicData>
            </a:graphic>
          </wp:inline>
        </w:drawing>
      </w:r>
    </w:p>
    <w:p w14:paraId="08798F09" w14:textId="77777777" w:rsidR="00D93BAE" w:rsidRDefault="00D93BAE" w:rsidP="00C566E3">
      <w:pPr>
        <w:rPr>
          <w:b/>
          <w:bCs/>
        </w:rPr>
      </w:pPr>
    </w:p>
    <w:p w14:paraId="1D4178EB" w14:textId="3C068AFB" w:rsidR="00D93BAE" w:rsidRDefault="00D93BAE" w:rsidP="00C566E3">
      <w:pPr>
        <w:rPr>
          <w:b/>
          <w:bCs/>
        </w:rPr>
      </w:pPr>
    </w:p>
    <w:p w14:paraId="59069DA5" w14:textId="38E3FBD9" w:rsidR="00D93BAE" w:rsidRDefault="00C566E3" w:rsidP="00C566E3">
      <w:pPr>
        <w:rPr>
          <w:b/>
          <w:bCs/>
        </w:rPr>
      </w:pPr>
      <w:r w:rsidRPr="00C566E3">
        <w:rPr>
          <w:b/>
          <w:bCs/>
        </w:rPr>
        <w:t xml:space="preserve">Adaptive bursts are important to generate theta </w:t>
      </w:r>
    </w:p>
    <w:p w14:paraId="7E288A9C" w14:textId="6D840C1B" w:rsidR="00C81685" w:rsidRPr="00C878B7" w:rsidRDefault="00C566E3" w:rsidP="00C566E3">
      <w:pPr>
        <w:rPr>
          <w:b/>
          <w:bCs/>
        </w:rPr>
      </w:pPr>
      <w:r w:rsidRPr="00C566E3">
        <w:rPr>
          <w:b/>
          <w:bCs/>
        </w:rPr>
        <w:t>oscillations in a network of CA3 cells</w:t>
      </w:r>
    </w:p>
    <w:p w14:paraId="25445227" w14:textId="49106288" w:rsidR="00977360" w:rsidRPr="00C566E3" w:rsidRDefault="00FE17D1" w:rsidP="00C566E3">
      <w:r>
        <w:rPr>
          <w:noProof/>
        </w:rPr>
        <w:drawing>
          <wp:inline distT="0" distB="0" distL="0" distR="0" wp14:anchorId="69453E5B" wp14:editId="2308EEB5">
            <wp:extent cx="3108960" cy="2826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2826385"/>
                    </a:xfrm>
                    <a:prstGeom prst="rect">
                      <a:avLst/>
                    </a:prstGeom>
                    <a:noFill/>
                    <a:ln>
                      <a:noFill/>
                    </a:ln>
                  </pic:spPr>
                </pic:pic>
              </a:graphicData>
            </a:graphic>
          </wp:inline>
        </w:drawing>
      </w:r>
    </w:p>
    <w:p w14:paraId="15EEA8B9" w14:textId="46EC455E" w:rsidR="00C566E3" w:rsidRPr="00C566E3" w:rsidRDefault="003A2DC9" w:rsidP="00C566E3">
      <w:r>
        <w:rPr>
          <w:noProof/>
        </w:rPr>
        <mc:AlternateContent>
          <mc:Choice Requires="wps">
            <w:drawing>
              <wp:anchor distT="0" distB="0" distL="114300" distR="114300" simplePos="0" relativeHeight="251666432" behindDoc="0" locked="0" layoutInCell="1" allowOverlap="1" wp14:anchorId="616C1CF1" wp14:editId="5A68B95F">
                <wp:simplePos x="0" y="0"/>
                <wp:positionH relativeFrom="margin">
                  <wp:posOffset>3628390</wp:posOffset>
                </wp:positionH>
                <wp:positionV relativeFrom="paragraph">
                  <wp:posOffset>5715</wp:posOffset>
                </wp:positionV>
                <wp:extent cx="2933700" cy="685165"/>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933700" cy="685165"/>
                        </a:xfrm>
                        <a:prstGeom prst="rect">
                          <a:avLst/>
                        </a:prstGeom>
                        <a:solidFill>
                          <a:prstClr val="white"/>
                        </a:solidFill>
                        <a:ln>
                          <a:noFill/>
                        </a:ln>
                      </wps:spPr>
                      <wps:txbx>
                        <w:txbxContent>
                          <w:p w14:paraId="24AC416C" w14:textId="7F38E55E" w:rsidR="003B3C7B" w:rsidRPr="00CE0F85" w:rsidRDefault="003B3C7B" w:rsidP="003B3C7B">
                            <w:pPr>
                              <w:pStyle w:val="Caption"/>
                              <w:rPr>
                                <w:noProof/>
                              </w:rPr>
                            </w:pPr>
                            <w:r>
                              <w:t xml:space="preserve">Figure 4A. </w:t>
                            </w:r>
                            <w:r w:rsidRPr="00C81685">
                              <w:t>Power Spectral Density</w:t>
                            </w:r>
                            <w:r w:rsidR="00C81685" w:rsidRPr="00C81685">
                              <w:t xml:space="preserve"> (PSD)</w:t>
                            </w:r>
                            <w:r w:rsidRPr="00C81685">
                              <w:t xml:space="preserve"> of two independent network trails</w:t>
                            </w:r>
                            <w:r w:rsidR="00C81685" w:rsidRPr="00C81685">
                              <w:t xml:space="preserve">. A 15Hz Poison random input was supplied to a model hippocampal network. PSD was calculated for a non-bursting tonic CA3 Pyramidal cell and a segregated adapting </w:t>
                            </w:r>
                            <w:r w:rsidR="00C81685">
                              <w:t>CA3 Pyramidal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shape w14:anchorId="616C1CF1" id="Text Box 3" o:spid="_x0000_s1030" type="#_x0000_t202" style="position:absolute;margin-left:285.7pt;margin-top:.45pt;width:231pt;height:53.9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" stroked="f">
                <v:textbox inset="0,0,0,0">
                  <w:txbxContent>
                    <w:p w14:paraId="24AC416C" w14:textId="7F38E55E" w:rsidR="003B3C7B" w:rsidRPr="00CE0F85" w:rsidRDefault="003B3C7B" w:rsidP="003B3C7B">
                      <w:pPr>
                        <w:pStyle w:val="Caption"/>
                        <w:rPr>
                          <w:noProof/>
                        </w:rPr>
                      </w:pPr>
                      <w:r>
                        <w:t xml:space="preserve">Figure 4A. </w:t>
                      </w:r>
                      <w:r w:rsidRPr="00C81685">
                        <w:t>Power Spectral Density</w:t>
                      </w:r>
                      <w:r w:rsidR="00C81685" w:rsidRPr="00C81685">
                        <w:t xml:space="preserve"> (PSD)</w:t>
                      </w:r>
                      <w:r w:rsidRPr="00C81685">
                        <w:t xml:space="preserve"> of two independent network trails</w:t>
                      </w:r>
                      <w:r w:rsidR="00C81685" w:rsidRPr="00C81685">
                        <w:t xml:space="preserve">. A 15Hz Poison random input was supplied to a model hippocampal network. PSD was calculated for a non-bursting tonic CA3 Pyramidal cell and a segregated adapting </w:t>
                      </w:r>
                      <w:r w:rsidR="00C81685">
                        <w:t>CA3 Pyramidal cell.</w:t>
                      </w:r>
                    </w:p>
                  </w:txbxContent>
                </v:textbox>
                <w10:wrap anchorx="margin"/>
              </v:shape>
            </w:pict>
          </mc:Fallback>
        </mc:AlternateContent>
      </w:r>
    </w:p>
    <w:p w14:paraId="2C036069" w14:textId="14A0D65F" w:rsidR="00C878B7" w:rsidRDefault="00C878B7" w:rsidP="00C566E3">
      <w:pPr>
        <w:rPr>
          <w:b/>
          <w:bCs/>
        </w:rPr>
      </w:pPr>
    </w:p>
    <w:p w14:paraId="7919D791" w14:textId="3B80FBF2" w:rsidR="00977360" w:rsidRDefault="00977360" w:rsidP="00977360">
      <w:r>
        <w:lastRenderedPageBreak/>
        <w:t xml:space="preserve">As an application of the segregation module proposed in our paper, we used a previously developed CA3 hippocampal network model to demonstrate the importance of spike frequency adaptation in theta generation </w:t>
      </w:r>
      <w:r>
        <w:rPr>
          <w:highlight w:val="yellow"/>
        </w:rPr>
        <w:t>(Ali reference)</w:t>
      </w:r>
      <w:r>
        <w:t xml:space="preserve">. After substituting in our adapting CA3 pyramidal cell, we found that providing a 15 Hz Poisson random spike train to the model Entorhinal Cortex produced a Power spectral density value of 1.2 * </w:t>
      </w:r>
      <w:r>
        <w:rPr>
          <w:color w:val="000000"/>
        </w:rPr>
        <w:t>10</w:t>
      </w:r>
      <w:r>
        <w:rPr>
          <w:color w:val="000000"/>
          <w:vertAlign w:val="superscript"/>
        </w:rPr>
        <w:t>4</w:t>
      </w:r>
      <w:r>
        <w:t xml:space="preserve"> (</w:t>
      </w:r>
      <w:proofErr w:type="spellStart"/>
      <w:r>
        <w:t>spk</w:t>
      </w:r>
      <w:proofErr w:type="spellEnd"/>
      <w:r>
        <w:t>/sec)</w:t>
      </w:r>
      <w:r>
        <w:rPr>
          <w:color w:val="000000"/>
          <w:vertAlign w:val="superscript"/>
        </w:rPr>
        <w:t xml:space="preserve"> 2</w:t>
      </w:r>
      <w:r>
        <w:t>/Hz at a frequency of 5 Hz. Conversely, when applying the same input to an identical model where the CA3 pyramidal cell was substituted with a tonic spiking</w:t>
      </w:r>
      <w:bookmarkStart w:id="0" w:name="_GoBack"/>
      <w:bookmarkEnd w:id="0"/>
      <w:r>
        <w:t xml:space="preserve"> cell of a matching FI curve, theta power did not occur. We suggest that interactions with surrounding GABAergic interneurons require strong input from pyramidal CA3 cells to produce theta power. Though the average frequency was matched when generating theta </w:t>
      </w:r>
      <w:r>
        <w:t>cases,</w:t>
      </w:r>
      <w:r>
        <w:t xml:space="preserve"> we were not able to replicate the initial high frequency pulse which is present in the adapting cell.  </w:t>
      </w:r>
    </w:p>
    <w:p w14:paraId="794CC19E" w14:textId="77777777" w:rsidR="00977360" w:rsidRDefault="00977360" w:rsidP="00C566E3">
      <w:pPr>
        <w:rPr>
          <w:b/>
          <w:bCs/>
        </w:rPr>
      </w:pPr>
    </w:p>
    <w:p w14:paraId="4EB16CB0" w14:textId="2FD1B87E" w:rsidR="00C878B7" w:rsidRPr="00C878B7" w:rsidRDefault="00C566E3" w:rsidP="00C566E3">
      <w:pPr>
        <w:rPr>
          <w:b/>
          <w:bCs/>
        </w:rPr>
      </w:pPr>
      <w:r w:rsidRPr="00C566E3">
        <w:rPr>
          <w:b/>
          <w:bCs/>
        </w:rPr>
        <w:t>Automation of the segregation process using machine learning</w:t>
      </w:r>
    </w:p>
    <w:p w14:paraId="3F8F5DF9" w14:textId="77777777" w:rsidR="00C566E3" w:rsidRDefault="00C566E3" w:rsidP="00C566E3">
      <w:pPr>
        <w:rPr>
          <w:sz w:val="24"/>
          <w:szCs w:val="24"/>
        </w:rPr>
      </w:pPr>
      <w:r w:rsidRPr="00C566E3">
        <w:t xml:space="preserve">As a first step in automating the segregation process using the Bayesian-based machine learning approach, we consider the CA3 cell with only the passive and spiking modules, i.e., the simple spiker case with only leak, H, Nat and Kdr channels. With the segregation scheme of Fig. 1, the machine learning package infers the parameters easily. The next step will be to include the Nap-KM module independently to infer </w:t>
      </w:r>
      <w:proofErr w:type="spellStart"/>
      <w:r w:rsidRPr="00C566E3">
        <w:t>gNap</w:t>
      </w:r>
      <w:proofErr w:type="spellEnd"/>
      <w:r w:rsidRPr="00C566E3">
        <w:t xml:space="preserve">, </w:t>
      </w:r>
      <w:proofErr w:type="spellStart"/>
      <w:r w:rsidRPr="00C566E3">
        <w:t>gKM</w:t>
      </w:r>
      <w:proofErr w:type="spellEnd"/>
      <w:r w:rsidRPr="00C566E3">
        <w:t xml:space="preserve"> and </w:t>
      </w:r>
      <w:proofErr w:type="spellStart"/>
      <w:r w:rsidRPr="00C566E3">
        <w:t>tau_KM</w:t>
      </w:r>
      <w:proofErr w:type="spellEnd"/>
      <w:r w:rsidRPr="00C566E3">
        <w:t>. Then we will attempt to infer the parameters of all the modules, i.e., passive, spiking and adapting modules simultaneously using an AI framework consisting of both analytical and simulation-based-inference (</w:t>
      </w:r>
      <w:proofErr w:type="spellStart"/>
      <w:r w:rsidRPr="00C566E3">
        <w:t>sbi</w:t>
      </w:r>
      <w:proofErr w:type="spellEnd"/>
      <w:r w:rsidRPr="00C566E3">
        <w:t>;</w:t>
      </w:r>
      <w:r w:rsidRPr="00C566E3">
        <w:fldChar w:fldCharType="begin"/>
      </w:r>
      <w:r w:rsidRPr="00C566E3">
        <w:instrText xml:space="preserve"> ADDIN EN.CITE &lt;EndNote&gt;&lt;Cite&gt;&lt;Author&gt;Gonçalves&lt;/Author&gt;&lt;Year&gt;2020&lt;/Year&gt;&lt;RecNum&gt;5463&lt;/RecNum&gt;&lt;DisplayText&gt;[2]&lt;/DisplayText&gt;&lt;record&gt;&lt;rec-number&gt;5463&lt;/rec-number&gt;&lt;foreign-keys&gt;&lt;key app="EN" db-id="wadfdsrz59rdaae9xsp59eaife9etwspvrz5" timestamp="1605504476"&gt;5463&lt;/key&gt;&lt;/foreign-keys&gt;&lt;ref-type name="Journal Article"&gt;17&lt;/ref-type&gt;&lt;contributors&gt;&lt;authors&gt;&lt;author&gt;Gonçalves, Pedro J.&lt;/author&gt;&lt;author&gt;Lueckmann, Jan-Matthis&lt;/author&gt;&lt;author&gt;Deistler, Michael&lt;/author&gt;&lt;author&gt;Nonnenmacher, Marcel&lt;/author&gt;&lt;author&gt;Öcal, Kaan&lt;/author&gt;&lt;author&gt;Bassetto, Giacomo&lt;/author&gt;&lt;author&gt;Chintaluri, Chaitanya&lt;/author&gt;&lt;author&gt;Podlaski, William F.&lt;/author&gt;&lt;author&gt;Haddad, Sara A.&lt;/author&gt;&lt;author&gt;Vogels, Tim P.&lt;/author&gt;&lt;author&gt;Greenberg, David S.&lt;/author&gt;&lt;author&gt;Macke, Jakob H.&lt;/author&gt;&lt;/authors&gt;&lt;secondary-authors&gt;&lt;author&gt;Huguenard, John R.&lt;/author&gt;&lt;author&gt;O&amp;apos;Leary, Timothy&lt;/author&gt;&lt;author&gt;Goldman, Mark S.&lt;/author&gt;&lt;/secondary-authors&gt;&lt;/contributors&gt;&lt;titles&gt;&lt;title&gt;Training deep neural density estimators to identify mechanistic models of neural dynamics&lt;/title&gt;&lt;secondary-title&gt;eLife&lt;/secondary-title&gt;&lt;/titles&gt;&lt;pages&gt;e56261&lt;/pages&gt;&lt;volume&gt;9&lt;/volume&gt;&lt;keywords&gt;&lt;keyword&gt;bayesian inference&lt;/keyword&gt;&lt;keyword&gt;deep learning&lt;/keyword&gt;&lt;keyword&gt;stomatogastric ganglion&lt;/keyword&gt;&lt;keyword&gt;model identification&lt;/keyword&gt;&lt;keyword&gt;neural dynamics&lt;/keyword&gt;&lt;keyword&gt;mechanistic models&lt;/keyword&gt;&lt;/keywords&gt;&lt;dates&gt;&lt;year&gt;2020&lt;/year&gt;&lt;pub-dates&gt;&lt;date&gt;2020/09/17&lt;/date&gt;&lt;/pub-dates&gt;&lt;/dates&gt;&lt;publisher&gt;eLife Sciences Publications, Ltd&lt;/publisher&gt;&lt;isbn&gt;2050-084X&lt;/isbn&gt;&lt;urls&gt;&lt;related-urls&gt;&lt;url&gt;https://doi.org/10.7554/eLife.56261&lt;/url&gt;&lt;/related-urls&gt;&lt;/urls&gt;&lt;custom1&gt;eLife 2020;9:e56261&lt;/custom1&gt;&lt;electronic-resource-num&gt;10.7554/eLife.56261&lt;/electronic-resource-num&gt;&lt;/record&gt;&lt;/Cite&gt;&lt;/EndNote&gt;</w:instrText>
      </w:r>
      <w:r w:rsidRPr="00C566E3">
        <w:fldChar w:fldCharType="separate"/>
      </w:r>
      <w:r w:rsidRPr="00C566E3">
        <w:rPr>
          <w:noProof/>
        </w:rPr>
        <w:t>[2]</w:t>
      </w:r>
      <w:r w:rsidRPr="00C566E3">
        <w:fldChar w:fldCharType="end"/>
      </w:r>
      <w:r w:rsidRPr="00C566E3">
        <w:t xml:space="preserve">) </w:t>
      </w:r>
      <w:r>
        <w:rPr>
          <w:sz w:val="24"/>
          <w:szCs w:val="24"/>
        </w:rPr>
        <w:t xml:space="preserve">modules. </w:t>
      </w:r>
    </w:p>
    <w:p w14:paraId="6A9E304A" w14:textId="0ABBA8BF" w:rsidR="00C2692F" w:rsidRDefault="00C2692F" w:rsidP="00C2692F">
      <w:pPr>
        <w:pStyle w:val="Text"/>
      </w:pPr>
      <w:r w:rsidRPr="005B520E">
        <w:t xml:space="preserve"> </w:t>
      </w:r>
    </w:p>
    <w:p w14:paraId="51AF788C" w14:textId="0BF07079" w:rsidR="00C2692F" w:rsidRDefault="00C566E3">
      <w:pPr>
        <w:pStyle w:val="Heading1"/>
      </w:pPr>
      <w:r>
        <w:t>Discussion and Conclusion</w:t>
      </w:r>
    </w:p>
    <w:p w14:paraId="2F7B0BA9" w14:textId="34C47394" w:rsidR="00C566E3" w:rsidRPr="00C566E3" w:rsidRDefault="00C566E3" w:rsidP="00C566E3">
      <w:pPr>
        <w:ind w:firstLine="202"/>
      </w:pPr>
      <w:r w:rsidRPr="00C566E3">
        <w:t xml:space="preserve">Modeling single cells with multiple neurocomputational properties poses challenges at both theoretical and application levels. For instance, at the theoretical level it is not clear how the plethora of current channels coordinate to implement the seemingly distinct neural signatures. At the application level, procedures to select parameters including automated schemes, typically result in multiple parameter sets for the same solution (e.g., </w:t>
      </w:r>
      <w:r w:rsidRPr="00C566E3">
        <w:fldChar w:fldCharType="begin"/>
      </w:r>
      <w:r w:rsidR="003E680F">
        <w:instrText xml:space="preserve"> ADDIN EN.CITE &lt;EndNote&gt;&lt;Cite&gt;&lt;Author&gt;Prinz&lt;/Author&gt;&lt;Year&gt;2004&lt;/Year&gt;&lt;RecNum&gt;5459&lt;/RecNum&gt;&lt;DisplayText&gt;[9]&lt;/DisplayText&gt;&lt;record&gt;&lt;rec-number&gt;5459&lt;/rec-number&gt;&lt;foreign-keys&gt;&lt;key app="EN" db-id="wadfdsrz59rdaae9xsp59eaife9etwspvrz5" timestamp="1594827599"&gt;5459&lt;/key&gt;&lt;/foreign-keys&gt;&lt;ref-type name="Journal Article"&gt;17&lt;/ref-type&gt;&lt;contributors&gt;&lt;authors&gt;&lt;author&gt;Prinz, Astrid A.&lt;/author&gt;&lt;author&gt;Bucher, Dirk&lt;/author&gt;&lt;author&gt;Marder, Eve&lt;/author&gt;&lt;/authors&gt;&lt;/contributors&gt;&lt;titles&gt;&lt;title&gt;Similar network activity from disparate circuit parameters&lt;/title&gt;&lt;secondary-title&gt;Nature Neuroscience&lt;/secondary-title&gt;&lt;/titles&gt;&lt;periodical&gt;&lt;full-title&gt;Nature Neuroscience&lt;/full-title&gt;&lt;abbr-1&gt;Nat. Neurosci.&lt;/abbr-1&gt;&lt;abbr-2&gt;Nat Neurosci&lt;/abbr-2&gt;&lt;/periodical&gt;&lt;pages&gt;1345-1352&lt;/pages&gt;&lt;volume&gt;7&lt;/volume&gt;&lt;number&gt;12&lt;/number&gt;&lt;dates&gt;&lt;year&gt;2004&lt;/year&gt;&lt;pub-dates&gt;&lt;date&gt;2004/12/01&lt;/date&gt;&lt;/pub-dates&gt;&lt;/dates&gt;&lt;isbn&gt;1546-1726&lt;/isbn&gt;&lt;urls&gt;&lt;related-urls&gt;&lt;url&gt;https://doi.org/10.1038/nn1352&lt;/url&gt;&lt;/related-urls&gt;&lt;/urls&gt;&lt;electronic-resource-num&gt;10.1038/nn1352&lt;/electronic-resource-num&gt;&lt;/record&gt;&lt;/Cite&gt;&lt;/EndNote&gt;</w:instrText>
      </w:r>
      <w:r w:rsidRPr="00C566E3">
        <w:fldChar w:fldCharType="separate"/>
      </w:r>
      <w:r w:rsidR="003E680F">
        <w:rPr>
          <w:noProof/>
        </w:rPr>
        <w:t>[9]</w:t>
      </w:r>
      <w:r w:rsidRPr="00C566E3">
        <w:fldChar w:fldCharType="end"/>
      </w:r>
      <w:r w:rsidRPr="00C566E3">
        <w:t xml:space="preserve">). Moreover, automated schemes such as genetic algorithm searches (e.g., </w:t>
      </w:r>
      <w:r w:rsidRPr="00C566E3">
        <w:fldChar w:fldCharType="begin"/>
      </w:r>
      <w:r w:rsidR="003E680F">
        <w:instrText xml:space="preserve"> ADDIN EN.CITE &lt;EndNote&gt;&lt;Cite&gt;&lt;Author&gt;Achard&lt;/Author&gt;&lt;Year&gt;2006&lt;/Year&gt;&lt;RecNum&gt;245&lt;/RecNum&gt;&lt;DisplayText&gt;[10]&lt;/DisplayText&gt;&lt;record&gt;&lt;rec-number&gt;245&lt;/rec-number&gt;&lt;foreign-keys&gt;&lt;key app="EN" db-id="wadfdsrz59rdaae9xsp59eaife9etwspvrz5" timestamp="1444098035"&gt;245&lt;/key&gt;&lt;key app="ENWeb" db-id=""&gt;0&lt;/key&gt;&lt;/foreign-keys&gt;&lt;ref-type name="Journal Article"&gt;17&lt;/ref-type&gt;&lt;contributors&gt;&lt;authors&gt;&lt;author&gt;Achard, P.&lt;/author&gt;&lt;author&gt;De Schutter, E.&lt;/author&gt;&lt;/authors&gt;&lt;/contributors&gt;&lt;titles&gt;&lt;title&gt;Complex parameter landscape for a complex neuron model&lt;/title&gt;&lt;secondary-title&gt;PLoS Comput Biol&lt;/secondary-title&gt;&lt;short-title&gt;Complex parameter landscape for a complex neuron model&lt;/short-title&gt;&lt;/titles&gt;&lt;periodical&gt;&lt;full-title&gt;PLoS Computational Biology&lt;/full-title&gt;&lt;abbr-1&gt;PLoS Comput. Biol.&lt;/abbr-1&gt;&lt;abbr-2&gt;PLoS Comput Biol&lt;/abbr-2&gt;&lt;/periodical&gt;&lt;pages&gt;e94&lt;/pages&gt;&lt;volume&gt;2&lt;/volume&gt;&lt;number&gt;7&lt;/number&gt;&lt;keywords&gt;&lt;keyword&gt;Algorithms&lt;/keyword&gt;&lt;keyword&gt;Cell Line&lt;/keyword&gt;&lt;keyword&gt;Computational Biology&lt;/keyword&gt;&lt;keyword&gt;Humans&lt;/keyword&gt;&lt;keyword&gt;Models, Neurological&lt;/keyword&gt;&lt;keyword&gt;Neurons&lt;/keyword&gt;&lt;keyword&gt;Purkinje Cells&lt;/keyword&gt;&lt;keyword&gt;Synapses&lt;/keyword&gt;&lt;/keywords&gt;&lt;dates&gt;&lt;year&gt;2006&lt;/year&gt;&lt;pub-dates&gt;&lt;date&gt;Jul&lt;/date&gt;&lt;/pub-dates&gt;&lt;/dates&gt;&lt;isbn&gt;1553-7358&lt;/isbn&gt;&lt;accession-num&gt;16848639&lt;/accession-num&gt;&lt;urls&gt;&lt;related-urls&gt;&lt;url&gt;http://www.ncbi.nlm.nih.gov/pubmed/16848639&lt;/url&gt;&lt;url&gt;http://www.ncbi.nlm.nih.gov/pmc/articles/PMC1513272/pdf/pcbi.0020094.pdf&lt;/url&gt;&lt;/related-urls&gt;&lt;/urls&gt;&lt;electronic-resource-num&gt;10.1371/journal.pcbi.0020094&lt;/electronic-resource-num&gt;&lt;language&gt;eng&lt;/language&gt;&lt;/record&gt;&lt;/Cite&gt;&lt;/EndNote&gt;</w:instrText>
      </w:r>
      <w:r w:rsidRPr="00C566E3">
        <w:fldChar w:fldCharType="separate"/>
      </w:r>
      <w:r w:rsidR="003E680F">
        <w:rPr>
          <w:noProof/>
        </w:rPr>
        <w:t>[10]</w:t>
      </w:r>
      <w:r w:rsidRPr="00C566E3">
        <w:fldChar w:fldCharType="end"/>
      </w:r>
      <w:r w:rsidRPr="00C566E3">
        <w:t xml:space="preserve">) cannot provide mechanistic insights into the interactions among the channels. </w:t>
      </w:r>
    </w:p>
    <w:p w14:paraId="1E7B0E44" w14:textId="77777777" w:rsidR="00C566E3" w:rsidRPr="00C566E3" w:rsidRDefault="00C566E3" w:rsidP="00C566E3">
      <w:r w:rsidRPr="00C566E3">
        <w:rPr>
          <w:u w:val="single"/>
        </w:rPr>
        <w:t>Distinct features of modules that implement spike-frequency adaptation and bursting</w:t>
      </w:r>
      <w:r w:rsidRPr="00C566E3">
        <w:t xml:space="preserve">. </w:t>
      </w:r>
    </w:p>
    <w:p w14:paraId="71DEFF32" w14:textId="0FB3A46A" w:rsidR="00C566E3" w:rsidRPr="00C566E3" w:rsidRDefault="00C566E3" w:rsidP="00C566E3">
      <w:r w:rsidRPr="00C566E3">
        <w:t xml:space="preserve">The neurocomputational property of spike frequency adaptation and bursting was implemented via two known current modules, the distinct characteristics of which are highlighted by our approach. Parameters of the Nap-KM module were found to have several functional implications. Time constant </w:t>
      </w:r>
      <w:r w:rsidRPr="00C566E3">
        <w:rPr>
          <w:rFonts w:ascii="Symbol" w:hAnsi="Symbol"/>
        </w:rPr>
        <w:t>t</w:t>
      </w:r>
      <w:r w:rsidRPr="00C566E3">
        <w:rPr>
          <w:vertAlign w:val="subscript"/>
        </w:rPr>
        <w:t>Nap</w:t>
      </w:r>
      <w:r w:rsidRPr="00C566E3">
        <w:t xml:space="preserve"> was found to be restricted to a small range suggesting that it might not </w:t>
      </w:r>
      <w:proofErr w:type="spellStart"/>
      <w:r w:rsidRPr="00C566E3">
        <w:t>vary</w:t>
      </w:r>
      <w:proofErr w:type="spellEnd"/>
      <w:r w:rsidRPr="00C566E3">
        <w:t xml:space="preserve"> much, and this time constant controls the rapid response of the burst. The initial high frequency of the burst was controlled by </w:t>
      </w:r>
      <w:proofErr w:type="spellStart"/>
      <w:r w:rsidRPr="00C566E3">
        <w:t>g</w:t>
      </w:r>
      <w:r w:rsidRPr="00C566E3">
        <w:rPr>
          <w:vertAlign w:val="subscript"/>
        </w:rPr>
        <w:t>Nap</w:t>
      </w:r>
      <w:proofErr w:type="spellEnd"/>
      <w:r w:rsidRPr="00C566E3">
        <w:t xml:space="preserve">. The time constant </w:t>
      </w:r>
      <w:r w:rsidRPr="00C566E3">
        <w:rPr>
          <w:rFonts w:ascii="Symbol" w:hAnsi="Symbol"/>
        </w:rPr>
        <w:t>t</w:t>
      </w:r>
      <w:r w:rsidRPr="00C566E3">
        <w:rPr>
          <w:vertAlign w:val="subscript"/>
        </w:rPr>
        <w:t xml:space="preserve">KM </w:t>
      </w:r>
      <w:r w:rsidRPr="00C566E3">
        <w:t xml:space="preserve">controlled the duration of the burst and its </w:t>
      </w:r>
      <w:r w:rsidRPr="00C566E3">
        <w:t xml:space="preserve">conductance </w:t>
      </w:r>
      <w:proofErr w:type="spellStart"/>
      <w:r w:rsidRPr="00C566E3">
        <w:t>g</w:t>
      </w:r>
      <w:r w:rsidRPr="00C566E3">
        <w:rPr>
          <w:vertAlign w:val="subscript"/>
        </w:rPr>
        <w:t>KM</w:t>
      </w:r>
      <w:proofErr w:type="spellEnd"/>
      <w:r w:rsidRPr="00C566E3">
        <w:t xml:space="preserve"> </w:t>
      </w:r>
      <w:r w:rsidRPr="001B32F0">
        <w:t xml:space="preserve">controlled </w:t>
      </w:r>
      <w:r w:rsidR="00D174DB" w:rsidRPr="001B32F0">
        <w:t>spikes per burst</w:t>
      </w:r>
      <w:r w:rsidRPr="001B32F0">
        <w:t>.</w:t>
      </w:r>
      <w:r w:rsidRPr="00C566E3">
        <w:t xml:space="preserve"> In the two-current module, </w:t>
      </w:r>
      <w:proofErr w:type="spellStart"/>
      <w:r w:rsidRPr="00C566E3">
        <w:t>g</w:t>
      </w:r>
      <w:r w:rsidRPr="00C566E3">
        <w:rPr>
          <w:vertAlign w:val="subscript"/>
        </w:rPr>
        <w:t>Nap</w:t>
      </w:r>
      <w:proofErr w:type="spellEnd"/>
      <w:r w:rsidRPr="00C566E3">
        <w:rPr>
          <w:vertAlign w:val="subscript"/>
        </w:rPr>
        <w:t xml:space="preserve"> </w:t>
      </w:r>
      <w:r w:rsidRPr="00C566E3">
        <w:t xml:space="preserve">and </w:t>
      </w:r>
      <w:proofErr w:type="spellStart"/>
      <w:r w:rsidRPr="00C566E3">
        <w:t>g</w:t>
      </w:r>
      <w:r w:rsidRPr="00C566E3">
        <w:rPr>
          <w:vertAlign w:val="subscript"/>
        </w:rPr>
        <w:t>KM</w:t>
      </w:r>
      <w:proofErr w:type="spellEnd"/>
      <w:r w:rsidRPr="00C566E3">
        <w:t xml:space="preserve"> together controlled the frequency of the burst. And </w:t>
      </w:r>
      <w:proofErr w:type="spellStart"/>
      <w:r w:rsidRPr="00C566E3">
        <w:t>g</w:t>
      </w:r>
      <w:r w:rsidRPr="00C566E3">
        <w:rPr>
          <w:vertAlign w:val="subscript"/>
        </w:rPr>
        <w:t>KM</w:t>
      </w:r>
      <w:proofErr w:type="spellEnd"/>
      <w:r w:rsidRPr="00C566E3">
        <w:t xml:space="preserve"> and </w:t>
      </w:r>
      <w:r w:rsidRPr="00C566E3">
        <w:rPr>
          <w:rFonts w:ascii="Symbol" w:hAnsi="Symbol"/>
        </w:rPr>
        <w:t>t</w:t>
      </w:r>
      <w:r w:rsidRPr="00C566E3">
        <w:rPr>
          <w:vertAlign w:val="subscript"/>
        </w:rPr>
        <w:t>KM</w:t>
      </w:r>
      <w:r w:rsidRPr="00C566E3">
        <w:t xml:space="preserve"> together controlled the duration of the burst and the inter-burst interval. This made it difficult to independently set both burst duration and inter-burst interval with the Nap-KM module, suggesting that it may be better suited primarily for the adaptation characteristic. On the other hand, the </w:t>
      </w:r>
      <w:proofErr w:type="spellStart"/>
      <w:r w:rsidRPr="00C566E3">
        <w:t>CaS</w:t>
      </w:r>
      <w:proofErr w:type="spellEnd"/>
      <w:r w:rsidRPr="00C566E3">
        <w:t>-</w:t>
      </w:r>
      <w:proofErr w:type="spellStart"/>
      <w:r w:rsidRPr="00C566E3">
        <w:t>CaT</w:t>
      </w:r>
      <w:proofErr w:type="spellEnd"/>
      <w:r w:rsidRPr="00C566E3">
        <w:t>-</w:t>
      </w:r>
      <w:r w:rsidR="0031792D">
        <w:t>sAHP</w:t>
      </w:r>
      <w:r w:rsidRPr="00C566E3">
        <w:t xml:space="preserve"> module had additional degrees of freedom which made it possible to independently vary both burst duration and inter-burst interval.</w:t>
      </w:r>
      <w:r w:rsidR="00A20F15">
        <w:t xml:space="preserve"> </w:t>
      </w:r>
      <w:proofErr w:type="gramStart"/>
      <w:r w:rsidR="00A20F15" w:rsidRPr="00A20F15">
        <w:rPr>
          <w:highlight w:val="yellow"/>
        </w:rPr>
        <w:t>That being said, the</w:t>
      </w:r>
      <w:proofErr w:type="gramEnd"/>
      <w:r w:rsidR="00A20F15" w:rsidRPr="00A20F15">
        <w:rPr>
          <w:highlight w:val="yellow"/>
        </w:rPr>
        <w:t xml:space="preserve"> Nap-KM module seems to allow for a faster burst spiking profile than what is possible with the </w:t>
      </w:r>
      <w:proofErr w:type="spellStart"/>
      <w:r w:rsidR="00A20F15" w:rsidRPr="00A20F15">
        <w:rPr>
          <w:highlight w:val="yellow"/>
        </w:rPr>
        <w:t>CaS</w:t>
      </w:r>
      <w:proofErr w:type="spellEnd"/>
      <w:r w:rsidR="00A20F15" w:rsidRPr="00A20F15">
        <w:rPr>
          <w:highlight w:val="yellow"/>
        </w:rPr>
        <w:t>-</w:t>
      </w:r>
      <w:proofErr w:type="spellStart"/>
      <w:r w:rsidR="00A20F15" w:rsidRPr="00A20F15">
        <w:rPr>
          <w:highlight w:val="yellow"/>
        </w:rPr>
        <w:t>CaT</w:t>
      </w:r>
      <w:proofErr w:type="spellEnd"/>
      <w:r w:rsidR="00A20F15" w:rsidRPr="00A20F15">
        <w:rPr>
          <w:highlight w:val="yellow"/>
        </w:rPr>
        <w:t>-sAHP module which may mean it is necessary in cells that display this characteristic.</w:t>
      </w:r>
    </w:p>
    <w:p w14:paraId="12F11FB9" w14:textId="77777777" w:rsidR="00C566E3" w:rsidRPr="00C566E3" w:rsidRDefault="00C566E3" w:rsidP="00C566E3">
      <w:pPr>
        <w:rPr>
          <w:u w:val="single"/>
        </w:rPr>
      </w:pPr>
    </w:p>
    <w:p w14:paraId="475AA7BE" w14:textId="77777777" w:rsidR="00C566E3" w:rsidRPr="00FE17D1" w:rsidRDefault="00C566E3" w:rsidP="00C566E3">
      <w:pPr>
        <w:rPr>
          <w:u w:val="single"/>
        </w:rPr>
      </w:pPr>
      <w:r w:rsidRPr="00FE17D1">
        <w:rPr>
          <w:u w:val="single"/>
        </w:rPr>
        <w:t>Automated pipeline for developing biophysical models of single neurons</w:t>
      </w:r>
    </w:p>
    <w:p w14:paraId="278A3D8F" w14:textId="4B25A332" w:rsidR="0015028E" w:rsidRDefault="00C566E3" w:rsidP="00C566E3">
      <w:r w:rsidRPr="00C566E3">
        <w:t xml:space="preserve">The segregation method with its lack of interaction among the various current modules makes the tuning process more efficient and facilitates automation via the machine learning package. </w:t>
      </w:r>
      <w:r w:rsidRPr="005D7E63">
        <w:rPr>
          <w:highlight w:val="magenta"/>
        </w:rPr>
        <w:t>Automation of the simple spiking module was shown in the Results section.</w:t>
      </w:r>
      <w:r w:rsidRPr="00C566E3">
        <w:t xml:space="preserve"> Ongoing work focuses on extending the process to</w:t>
      </w:r>
      <w:r w:rsidR="00C06C20">
        <w:t xml:space="preserve"> include</w:t>
      </w:r>
      <w:r w:rsidRPr="00C566E3">
        <w:t xml:space="preserve"> the Nap-KM and </w:t>
      </w:r>
      <w:proofErr w:type="spellStart"/>
      <w:r w:rsidRPr="00C566E3">
        <w:t>CaS</w:t>
      </w:r>
      <w:proofErr w:type="spellEnd"/>
      <w:r w:rsidRPr="00C566E3">
        <w:t>-</w:t>
      </w:r>
      <w:proofErr w:type="spellStart"/>
      <w:r w:rsidRPr="00C566E3">
        <w:t>CaT</w:t>
      </w:r>
      <w:proofErr w:type="spellEnd"/>
      <w:r w:rsidRPr="00C566E3">
        <w:t>-</w:t>
      </w:r>
      <w:r w:rsidR="0031792D">
        <w:t>sAHP</w:t>
      </w:r>
      <w:r w:rsidRPr="00C566E3">
        <w:t xml:space="preserve"> modules separately. The final goal is to automate the entire pipeline including passive, spiking, adapting and bursting modules. The open-source package will be hosted for public download at our site cyneuro.org.</w:t>
      </w:r>
    </w:p>
    <w:p w14:paraId="08EF67BA" w14:textId="050D39BC" w:rsidR="00C566E3" w:rsidRDefault="00C2692F" w:rsidP="00386408">
      <w:pPr>
        <w:pStyle w:val="ReferenceHead"/>
      </w:pPr>
      <w:r>
        <w:t>References</w:t>
      </w:r>
    </w:p>
    <w:p w14:paraId="1C7B2EB2" w14:textId="77777777" w:rsidR="00C566E3" w:rsidRDefault="00C566E3" w:rsidP="00C2692F">
      <w:pPr>
        <w:pStyle w:val="References"/>
        <w:numPr>
          <w:ilvl w:val="0"/>
          <w:numId w:val="0"/>
        </w:numPr>
      </w:pPr>
    </w:p>
    <w:p w14:paraId="401A8893" w14:textId="77777777" w:rsidR="003E680F" w:rsidRPr="003E680F" w:rsidRDefault="00C566E3" w:rsidP="003E680F">
      <w:pPr>
        <w:pStyle w:val="EndNoteBibliography"/>
        <w:ind w:left="360" w:hanging="360"/>
      </w:pPr>
      <w:r>
        <w:fldChar w:fldCharType="begin"/>
      </w:r>
      <w:r>
        <w:instrText xml:space="preserve"> ADDIN EN.REFLIST </w:instrText>
      </w:r>
      <w:r>
        <w:fldChar w:fldCharType="separate"/>
      </w:r>
      <w:r w:rsidR="003E680F" w:rsidRPr="003E680F">
        <w:rPr>
          <w:sz w:val="20"/>
        </w:rPr>
        <w:t>1</w:t>
      </w:r>
      <w:r w:rsidR="003E680F" w:rsidRPr="003E680F">
        <w:rPr>
          <w:rFonts w:ascii="Segoe UI" w:hAnsi="Segoe UI" w:cs="Segoe UI"/>
          <w:sz w:val="20"/>
        </w:rPr>
        <w:t>.</w:t>
      </w:r>
      <w:r w:rsidR="003E680F" w:rsidRPr="003E680F">
        <w:rPr>
          <w:rFonts w:ascii="Segoe UI" w:hAnsi="Segoe UI" w:cs="Segoe UI"/>
          <w:sz w:val="20"/>
        </w:rPr>
        <w:tab/>
      </w:r>
      <w:r w:rsidR="003E680F" w:rsidRPr="003E680F">
        <w:t>Alturki A, Feng F, Nair A, Guntu V, Nair SS (2016) Distinct current modules shape cellular dynamics in model neurons, Neuroscience</w:t>
      </w:r>
      <w:r w:rsidR="003E680F" w:rsidRPr="003E680F">
        <w:rPr>
          <w:i/>
        </w:rPr>
        <w:t xml:space="preserve"> </w:t>
      </w:r>
      <w:r w:rsidR="003E680F" w:rsidRPr="003E680F">
        <w:t>334, 309-331. PMC5086448.</w:t>
      </w:r>
    </w:p>
    <w:p w14:paraId="2B1379D5" w14:textId="77777777" w:rsidR="003E680F" w:rsidRPr="003E680F" w:rsidRDefault="003E680F" w:rsidP="003E680F">
      <w:pPr>
        <w:pStyle w:val="EndNoteBibliography"/>
        <w:ind w:left="360" w:hanging="360"/>
      </w:pPr>
      <w:r w:rsidRPr="003E680F">
        <w:rPr>
          <w:sz w:val="20"/>
        </w:rPr>
        <w:t>2</w:t>
      </w:r>
      <w:r w:rsidRPr="003E680F">
        <w:rPr>
          <w:rFonts w:ascii="Segoe UI" w:hAnsi="Segoe UI" w:cs="Segoe UI"/>
          <w:sz w:val="20"/>
        </w:rPr>
        <w:t>.</w:t>
      </w:r>
      <w:r w:rsidRPr="003E680F">
        <w:rPr>
          <w:rFonts w:ascii="Segoe UI" w:hAnsi="Segoe UI" w:cs="Segoe UI"/>
          <w:sz w:val="20"/>
        </w:rPr>
        <w:tab/>
      </w:r>
      <w:r w:rsidRPr="003E680F">
        <w:t>Gonçalves PJ, Lueckmann J-M, Deistler M, Nonnenmacher M, Öcal K, Bassetto G, Chintaluri C, Podlaski WF, Haddad SA, Vogels TP, Greenberg DS, Macke JH (2020) Training deep neural density estimators to identify mechanistic models of neural dynamics, eLife</w:t>
      </w:r>
      <w:r w:rsidRPr="003E680F">
        <w:rPr>
          <w:i/>
        </w:rPr>
        <w:t xml:space="preserve"> </w:t>
      </w:r>
      <w:r w:rsidRPr="003E680F">
        <w:t xml:space="preserve">9, e56261. </w:t>
      </w:r>
    </w:p>
    <w:p w14:paraId="14592004" w14:textId="77777777" w:rsidR="003E680F" w:rsidRPr="003E680F" w:rsidRDefault="003E680F" w:rsidP="003E680F">
      <w:pPr>
        <w:pStyle w:val="EndNoteBibliography"/>
        <w:ind w:left="360" w:hanging="360"/>
      </w:pPr>
      <w:r w:rsidRPr="003E680F">
        <w:rPr>
          <w:sz w:val="20"/>
        </w:rPr>
        <w:t>3</w:t>
      </w:r>
      <w:r w:rsidRPr="003E680F">
        <w:rPr>
          <w:rFonts w:ascii="Segoe UI" w:hAnsi="Segoe UI" w:cs="Segoe UI"/>
          <w:sz w:val="20"/>
        </w:rPr>
        <w:t>.</w:t>
      </w:r>
      <w:r w:rsidRPr="003E680F">
        <w:rPr>
          <w:rFonts w:ascii="Segoe UI" w:hAnsi="Segoe UI" w:cs="Segoe UI"/>
          <w:sz w:val="20"/>
        </w:rPr>
        <w:tab/>
      </w:r>
      <w:r w:rsidRPr="003E680F">
        <w:t>Carnevale N, Hines M (2006) The neuron book (UK: Cambridge University Press).</w:t>
      </w:r>
    </w:p>
    <w:p w14:paraId="0C1197A5" w14:textId="77777777" w:rsidR="003E680F" w:rsidRPr="003E680F" w:rsidRDefault="003E680F" w:rsidP="003E680F">
      <w:pPr>
        <w:pStyle w:val="EndNoteBibliography"/>
        <w:ind w:left="360" w:hanging="360"/>
      </w:pPr>
      <w:r w:rsidRPr="003E680F">
        <w:rPr>
          <w:sz w:val="20"/>
        </w:rPr>
        <w:t>4</w:t>
      </w:r>
      <w:r w:rsidRPr="003E680F">
        <w:rPr>
          <w:rFonts w:ascii="Segoe UI" w:hAnsi="Segoe UI" w:cs="Segoe UI"/>
          <w:sz w:val="20"/>
        </w:rPr>
        <w:t>.</w:t>
      </w:r>
      <w:r w:rsidRPr="003E680F">
        <w:rPr>
          <w:rFonts w:ascii="Segoe UI" w:hAnsi="Segoe UI" w:cs="Segoe UI"/>
          <w:sz w:val="20"/>
        </w:rPr>
        <w:tab/>
      </w:r>
      <w:r w:rsidRPr="003E680F">
        <w:t>Byrne JH, Roberts JL, Waxham MN (2014) From molecules to networks: An introduction to cellular and molecular neuroscience, 3rd edn (Elsevier).</w:t>
      </w:r>
    </w:p>
    <w:p w14:paraId="1A4C404C" w14:textId="77777777" w:rsidR="003E680F" w:rsidRPr="003E680F" w:rsidRDefault="003E680F" w:rsidP="003E680F">
      <w:pPr>
        <w:pStyle w:val="EndNoteBibliography"/>
        <w:ind w:left="360" w:hanging="360"/>
      </w:pPr>
      <w:r w:rsidRPr="003E680F">
        <w:rPr>
          <w:sz w:val="20"/>
        </w:rPr>
        <w:t>5</w:t>
      </w:r>
      <w:r w:rsidRPr="003E680F">
        <w:rPr>
          <w:rFonts w:ascii="Segoe UI" w:hAnsi="Segoe UI" w:cs="Segoe UI"/>
          <w:sz w:val="20"/>
        </w:rPr>
        <w:t>.</w:t>
      </w:r>
      <w:r w:rsidRPr="003E680F">
        <w:rPr>
          <w:rFonts w:ascii="Segoe UI" w:hAnsi="Segoe UI" w:cs="Segoe UI"/>
          <w:sz w:val="20"/>
        </w:rPr>
        <w:tab/>
      </w:r>
      <w:r w:rsidRPr="003E680F">
        <w:t>Izhikevich (2007) Dynamical systems in neuroscience the geometry of excitability and bursting In Computational neuroscience (Cambridge, Mass., MIT Press).</w:t>
      </w:r>
    </w:p>
    <w:p w14:paraId="6AD64838" w14:textId="77777777" w:rsidR="003E680F" w:rsidRPr="003E680F" w:rsidRDefault="003E680F" w:rsidP="003E680F">
      <w:pPr>
        <w:pStyle w:val="EndNoteBibliography"/>
        <w:ind w:left="360" w:hanging="360"/>
      </w:pPr>
      <w:r w:rsidRPr="003E680F">
        <w:rPr>
          <w:sz w:val="20"/>
        </w:rPr>
        <w:t>6</w:t>
      </w:r>
      <w:r w:rsidRPr="003E680F">
        <w:rPr>
          <w:rFonts w:ascii="Segoe UI" w:hAnsi="Segoe UI" w:cs="Segoe UI"/>
          <w:sz w:val="20"/>
        </w:rPr>
        <w:t>.</w:t>
      </w:r>
      <w:r w:rsidRPr="003E680F">
        <w:rPr>
          <w:rFonts w:ascii="Segoe UI" w:hAnsi="Segoe UI" w:cs="Segoe UI"/>
          <w:sz w:val="20"/>
        </w:rPr>
        <w:tab/>
      </w:r>
      <w:r w:rsidRPr="003E680F">
        <w:t>Sun Q, Sotayo A, Cazzulino AS, Snyder AM, Denny CA, Siegelbaum SA (2017) Proximodistal heterogeneity of hippocampal CA3 pyramidal neuron intrinsic properties, connectivity, and reactivation during memory recall, Neuron</w:t>
      </w:r>
      <w:r w:rsidRPr="003E680F">
        <w:rPr>
          <w:i/>
        </w:rPr>
        <w:t xml:space="preserve"> </w:t>
      </w:r>
      <w:r w:rsidRPr="003E680F">
        <w:t xml:space="preserve">95, 656-672.e653. </w:t>
      </w:r>
    </w:p>
    <w:p w14:paraId="698226EC" w14:textId="77777777" w:rsidR="003E680F" w:rsidRPr="003E680F" w:rsidRDefault="003E680F" w:rsidP="003E680F">
      <w:pPr>
        <w:pStyle w:val="EndNoteBibliography"/>
        <w:ind w:left="360" w:hanging="360"/>
      </w:pPr>
      <w:r w:rsidRPr="003E680F">
        <w:rPr>
          <w:sz w:val="20"/>
        </w:rPr>
        <w:t>7</w:t>
      </w:r>
      <w:r w:rsidRPr="003E680F">
        <w:rPr>
          <w:rFonts w:ascii="Segoe UI" w:hAnsi="Segoe UI" w:cs="Segoe UI"/>
          <w:sz w:val="20"/>
        </w:rPr>
        <w:t>.</w:t>
      </w:r>
      <w:r w:rsidRPr="003E680F">
        <w:rPr>
          <w:rFonts w:ascii="Segoe UI" w:hAnsi="Segoe UI" w:cs="Segoe UI"/>
          <w:sz w:val="20"/>
        </w:rPr>
        <w:tab/>
      </w:r>
      <w:r w:rsidRPr="003E680F">
        <w:t>Staff NP, Jung H-Y, Thiagarajan T, Yao M, Spruston N (2000) Resting and active properties of pyramidal neurons in subiculum and ca1 of rat hippocampus, J Neurophysiol</w:t>
      </w:r>
      <w:r w:rsidRPr="003E680F">
        <w:rPr>
          <w:i/>
        </w:rPr>
        <w:t xml:space="preserve"> </w:t>
      </w:r>
      <w:r w:rsidRPr="003E680F">
        <w:t xml:space="preserve">84, 2398-2408. </w:t>
      </w:r>
    </w:p>
    <w:p w14:paraId="6F5AAD47" w14:textId="77777777" w:rsidR="003E680F" w:rsidRPr="003E680F" w:rsidRDefault="003E680F" w:rsidP="003E680F">
      <w:pPr>
        <w:pStyle w:val="EndNoteBibliography"/>
        <w:ind w:left="360" w:hanging="360"/>
      </w:pPr>
      <w:r w:rsidRPr="003E680F">
        <w:rPr>
          <w:sz w:val="20"/>
        </w:rPr>
        <w:t>8</w:t>
      </w:r>
      <w:r w:rsidRPr="003E680F">
        <w:rPr>
          <w:rFonts w:ascii="Segoe UI" w:hAnsi="Segoe UI" w:cs="Segoe UI"/>
          <w:sz w:val="20"/>
        </w:rPr>
        <w:t>.</w:t>
      </w:r>
      <w:r w:rsidRPr="003E680F">
        <w:rPr>
          <w:rFonts w:ascii="Segoe UI" w:hAnsi="Segoe UI" w:cs="Segoe UI"/>
          <w:sz w:val="20"/>
        </w:rPr>
        <w:tab/>
      </w:r>
      <w:r w:rsidRPr="003E680F">
        <w:t>Hummos A, Franklin Charles C, Nair Satish S (2014) Intrinsic mechanisms stabilize encoding and retrieval circuits differentially in a hippocampal network model, Hippocampus</w:t>
      </w:r>
      <w:r w:rsidRPr="003E680F">
        <w:rPr>
          <w:i/>
        </w:rPr>
        <w:t xml:space="preserve"> </w:t>
      </w:r>
      <w:r w:rsidRPr="003E680F">
        <w:t>24, 1430-1448. PMC24978936.</w:t>
      </w:r>
    </w:p>
    <w:p w14:paraId="7CDB0BD4" w14:textId="77777777" w:rsidR="003E680F" w:rsidRPr="003E680F" w:rsidRDefault="003E680F" w:rsidP="003E680F">
      <w:pPr>
        <w:pStyle w:val="EndNoteBibliography"/>
        <w:ind w:left="360" w:hanging="360"/>
      </w:pPr>
      <w:r w:rsidRPr="003E680F">
        <w:rPr>
          <w:sz w:val="20"/>
        </w:rPr>
        <w:t>9</w:t>
      </w:r>
      <w:r w:rsidRPr="003E680F">
        <w:rPr>
          <w:rFonts w:ascii="Segoe UI" w:hAnsi="Segoe UI" w:cs="Segoe UI"/>
          <w:sz w:val="20"/>
        </w:rPr>
        <w:t>.</w:t>
      </w:r>
      <w:r w:rsidRPr="003E680F">
        <w:rPr>
          <w:rFonts w:ascii="Segoe UI" w:hAnsi="Segoe UI" w:cs="Segoe UI"/>
          <w:sz w:val="20"/>
        </w:rPr>
        <w:tab/>
      </w:r>
      <w:r w:rsidRPr="003E680F">
        <w:t>Prinz AA, Bucher D, Marder E (2004) Similar network activity from disparate circuit parameters, Nat Neurosci</w:t>
      </w:r>
      <w:r w:rsidRPr="003E680F">
        <w:rPr>
          <w:i/>
        </w:rPr>
        <w:t xml:space="preserve"> </w:t>
      </w:r>
      <w:r w:rsidRPr="003E680F">
        <w:t xml:space="preserve">7, 1345-1352. </w:t>
      </w:r>
    </w:p>
    <w:p w14:paraId="130AB198" w14:textId="77777777" w:rsidR="003E680F" w:rsidRPr="003E680F" w:rsidRDefault="003E680F" w:rsidP="003E680F">
      <w:pPr>
        <w:pStyle w:val="EndNoteBibliography"/>
        <w:ind w:left="360" w:hanging="360"/>
      </w:pPr>
      <w:r w:rsidRPr="003E680F">
        <w:rPr>
          <w:sz w:val="20"/>
        </w:rPr>
        <w:t>10</w:t>
      </w:r>
      <w:r w:rsidRPr="003E680F">
        <w:rPr>
          <w:rFonts w:ascii="Segoe UI" w:hAnsi="Segoe UI" w:cs="Segoe UI"/>
          <w:sz w:val="20"/>
        </w:rPr>
        <w:t>.</w:t>
      </w:r>
      <w:r w:rsidRPr="003E680F">
        <w:rPr>
          <w:rFonts w:ascii="Segoe UI" w:hAnsi="Segoe UI" w:cs="Segoe UI"/>
          <w:sz w:val="20"/>
        </w:rPr>
        <w:tab/>
      </w:r>
      <w:r w:rsidRPr="003E680F">
        <w:t>Achard P, De Schutter E (2006) Complex parameter landscape for a complex neuron model, PLoS Comput Biol</w:t>
      </w:r>
      <w:r w:rsidRPr="003E680F">
        <w:rPr>
          <w:i/>
        </w:rPr>
        <w:t xml:space="preserve"> </w:t>
      </w:r>
      <w:r w:rsidRPr="003E680F">
        <w:t xml:space="preserve">2, e94. </w:t>
      </w:r>
    </w:p>
    <w:p w14:paraId="611BA4DD" w14:textId="7A61BFDE" w:rsidR="00C2692F" w:rsidRPr="007A28F1" w:rsidRDefault="00C566E3" w:rsidP="00C2692F">
      <w:pPr>
        <w:pStyle w:val="References"/>
        <w:numPr>
          <w:ilvl w:val="0"/>
          <w:numId w:val="0"/>
        </w:numPr>
      </w:pPr>
      <w:r>
        <w:fldChar w:fldCharType="end"/>
      </w:r>
    </w:p>
    <w:sectPr w:rsidR="00C2692F" w:rsidRPr="007A28F1" w:rsidSect="0015028E">
      <w:headerReference w:type="default" r:id="rId13"/>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4EE8D" w14:textId="77777777" w:rsidR="003C7107" w:rsidRDefault="003C7107">
      <w:r>
        <w:separator/>
      </w:r>
    </w:p>
  </w:endnote>
  <w:endnote w:type="continuationSeparator" w:id="0">
    <w:p w14:paraId="50A20228" w14:textId="77777777" w:rsidR="003C7107" w:rsidRDefault="003C7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0487E" w14:textId="77777777" w:rsidR="003C7107" w:rsidRDefault="003C7107"/>
  </w:footnote>
  <w:footnote w:type="continuationSeparator" w:id="0">
    <w:p w14:paraId="2AF23FAC" w14:textId="77777777" w:rsidR="003C7107" w:rsidRDefault="003C7107">
      <w:r>
        <w:continuationSeparator/>
      </w:r>
    </w:p>
  </w:footnote>
  <w:footnote w:id="1">
    <w:p w14:paraId="40CA3831" w14:textId="1F5E8947" w:rsidR="00FE17D1" w:rsidRPr="00FE17D1" w:rsidRDefault="00FE17D1" w:rsidP="00FE17D1">
      <w:pPr>
        <w:pStyle w:val="FootnoteText"/>
        <w:rPr>
          <w:rFonts w:ascii="Arial" w:hAnsi="Arial" w:cs="Arial"/>
          <w:color w:val="000000"/>
        </w:rPr>
      </w:pPr>
      <w:r w:rsidRPr="00FE17D1">
        <w:rPr>
          <w:rFonts w:ascii="Arial" w:hAnsi="Arial" w:cs="Arial"/>
          <w:color w:val="000000"/>
        </w:rPr>
        <w:t>This research was supported in part by This research was supported in part by grants NIH MH122023 and NSF OAC-1730655 to SSN.</w:t>
      </w:r>
    </w:p>
    <w:p w14:paraId="662B1F59" w14:textId="77777777" w:rsidR="00FE17D1" w:rsidRDefault="00FE17D1" w:rsidP="00FE17D1">
      <w:pPr>
        <w:pStyle w:val="FootnoteText"/>
      </w:pPr>
    </w:p>
    <w:p w14:paraId="563B7107" w14:textId="416BF88D" w:rsidR="00FE17D1" w:rsidRPr="00FE17D1" w:rsidRDefault="00FE17D1" w:rsidP="00FE17D1">
      <w:pPr>
        <w:pStyle w:val="FootnoteText"/>
        <w:rPr>
          <w:rFonts w:ascii="Arial" w:hAnsi="Arial" w:cs="Arial"/>
          <w:color w:val="000000"/>
        </w:rPr>
      </w:pPr>
      <w:r>
        <w:t>*</w:t>
      </w:r>
      <w:r w:rsidRPr="00FE17D1">
        <w:rPr>
          <w:rFonts w:ascii="Arial" w:hAnsi="Arial" w:cs="Arial"/>
          <w:color w:val="000000"/>
        </w:rPr>
        <w:t xml:space="preserve">N Opsal, P Canfield, T Banks and SS Nair are with Electrical Engineering and Computer Science, University of Missouri, Columbia MO 65211 (corresponding author SSN phone: 573-882-2964; fax: 573-882-0397; e-mail: </w:t>
      </w:r>
      <w:hyperlink r:id="rId1" w:history="1">
        <w:r w:rsidRPr="00FE17D1">
          <w:rPr>
            <w:rStyle w:val="Hyperlink"/>
            <w:rFonts w:ascii="Arial" w:hAnsi="Arial" w:cs="Arial"/>
          </w:rPr>
          <w:t>nairs@missouri.edu</w:t>
        </w:r>
      </w:hyperlink>
      <w:r w:rsidRPr="00FE17D1">
        <w:rPr>
          <w:rFonts w:ascii="Arial" w:hAnsi="Arial" w:cs="Arial"/>
          <w:color w:val="000000"/>
        </w:rPr>
        <w:t xml:space="preserve">). </w:t>
      </w:r>
    </w:p>
    <w:p w14:paraId="164967BD" w14:textId="2B1ADE2D" w:rsidR="00C2692F" w:rsidRDefault="00C2692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88C5" w14:textId="77777777" w:rsidR="00C2692F" w:rsidRDefault="00C2692F">
    <w:pPr>
      <w:framePr w:wrap="auto" w:vAnchor="text" w:hAnchor="margin" w:xAlign="right" w:y="1"/>
    </w:pPr>
  </w:p>
  <w:p w14:paraId="6E209C8B"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n2&lt;/Style&gt;&lt;LeftDelim&gt;{&lt;/LeftDelim&gt;&lt;RightDelim&gt;}&lt;/RightDelim&gt;&lt;FontName&gt;Times New Roman&lt;/FontName&gt;&lt;FontSize&gt;8&lt;/FontSize&gt;&lt;ReflistTitle&gt;&lt;/ReflistTitle&gt;&lt;StartingRefnum&gt;1&lt;/StartingRefnum&gt;&lt;FirstLineIndent&gt;0&lt;/FirstLineIndent&gt;&lt;HangingIndent&gt;36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dfdsrz59rdaae9xsp59eaife9etwspvrz5&quot;&gt;My EndNote Library&lt;record-ids&gt;&lt;item&gt;101&lt;/item&gt;&lt;item&gt;236&lt;/item&gt;&lt;item&gt;245&lt;/item&gt;&lt;item&gt;649&lt;/item&gt;&lt;item&gt;694&lt;/item&gt;&lt;item&gt;4962&lt;/item&gt;&lt;item&gt;5459&lt;/item&gt;&lt;item&gt;5463&lt;/item&gt;&lt;item&gt;5475&lt;/item&gt;&lt;item&gt;5478&lt;/item&gt;&lt;/record-ids&gt;&lt;/item&gt;&lt;/Libraries&gt;"/>
  </w:docVars>
  <w:rsids>
    <w:rsidRoot w:val="001A13E6"/>
    <w:rsid w:val="0015028E"/>
    <w:rsid w:val="00172562"/>
    <w:rsid w:val="001A13E6"/>
    <w:rsid w:val="001B32F0"/>
    <w:rsid w:val="001C433D"/>
    <w:rsid w:val="00211AAF"/>
    <w:rsid w:val="00292AD5"/>
    <w:rsid w:val="0031792D"/>
    <w:rsid w:val="00355EDE"/>
    <w:rsid w:val="00386408"/>
    <w:rsid w:val="003A2DC9"/>
    <w:rsid w:val="003B3C7B"/>
    <w:rsid w:val="003C7107"/>
    <w:rsid w:val="003E680F"/>
    <w:rsid w:val="00415382"/>
    <w:rsid w:val="0044077C"/>
    <w:rsid w:val="00462339"/>
    <w:rsid w:val="004929F3"/>
    <w:rsid w:val="00571837"/>
    <w:rsid w:val="00582132"/>
    <w:rsid w:val="005B476A"/>
    <w:rsid w:val="005D7E63"/>
    <w:rsid w:val="00621549"/>
    <w:rsid w:val="006978BD"/>
    <w:rsid w:val="006D5709"/>
    <w:rsid w:val="006F5250"/>
    <w:rsid w:val="0072303E"/>
    <w:rsid w:val="0072734B"/>
    <w:rsid w:val="007E061C"/>
    <w:rsid w:val="007E755A"/>
    <w:rsid w:val="007F61BC"/>
    <w:rsid w:val="00977360"/>
    <w:rsid w:val="009A5EF1"/>
    <w:rsid w:val="009C288F"/>
    <w:rsid w:val="00A20F15"/>
    <w:rsid w:val="00A315B5"/>
    <w:rsid w:val="00A407F4"/>
    <w:rsid w:val="00AB5530"/>
    <w:rsid w:val="00AB657F"/>
    <w:rsid w:val="00AC2754"/>
    <w:rsid w:val="00AE3293"/>
    <w:rsid w:val="00B16185"/>
    <w:rsid w:val="00B77181"/>
    <w:rsid w:val="00B93344"/>
    <w:rsid w:val="00BC4269"/>
    <w:rsid w:val="00C06C20"/>
    <w:rsid w:val="00C230E0"/>
    <w:rsid w:val="00C2692F"/>
    <w:rsid w:val="00C566E3"/>
    <w:rsid w:val="00C81685"/>
    <w:rsid w:val="00C878B7"/>
    <w:rsid w:val="00CB0F7E"/>
    <w:rsid w:val="00CF0931"/>
    <w:rsid w:val="00D01553"/>
    <w:rsid w:val="00D174DB"/>
    <w:rsid w:val="00D354B4"/>
    <w:rsid w:val="00D93B3F"/>
    <w:rsid w:val="00D93BAE"/>
    <w:rsid w:val="00DC10A0"/>
    <w:rsid w:val="00E16811"/>
    <w:rsid w:val="00E71F51"/>
    <w:rsid w:val="00E76E91"/>
    <w:rsid w:val="00E94C00"/>
    <w:rsid w:val="00EE7A12"/>
    <w:rsid w:val="00F365D0"/>
    <w:rsid w:val="00F5760C"/>
    <w:rsid w:val="00FB46DE"/>
    <w:rsid w:val="00FE17D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9E0636"/>
  <w15:docId w15:val="{271376ED-FC39-4312-B489-F336776F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uiPriority w:val="99"/>
    <w:semiHidden/>
    <w:pPr>
      <w:ind w:firstLine="202"/>
      <w:jc w:val="both"/>
    </w:pPr>
    <w:rPr>
      <w:sz w:val="16"/>
      <w:szCs w:val="16"/>
    </w:rPr>
  </w:style>
  <w:style w:type="paragraph" w:customStyle="1" w:styleId="References">
    <w:name w:val="References"/>
    <w:basedOn w:val="Normal"/>
    <w:link w:val="ReferencesChar"/>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customStyle="1" w:styleId="spelle">
    <w:name w:val="spelle"/>
    <w:basedOn w:val="DefaultParagraphFont"/>
    <w:rsid w:val="00A407F4"/>
  </w:style>
  <w:style w:type="character" w:styleId="Emphasis">
    <w:name w:val="Emphasis"/>
    <w:basedOn w:val="DefaultParagraphFont"/>
    <w:uiPriority w:val="20"/>
    <w:qFormat/>
    <w:rsid w:val="00A407F4"/>
    <w:rPr>
      <w:i/>
      <w:iCs/>
    </w:rPr>
  </w:style>
  <w:style w:type="paragraph" w:styleId="ListParagraph">
    <w:name w:val="List Paragraph"/>
    <w:basedOn w:val="Normal"/>
    <w:qFormat/>
    <w:rsid w:val="00A407F4"/>
    <w:pPr>
      <w:ind w:left="720"/>
      <w:contextualSpacing/>
    </w:pPr>
  </w:style>
  <w:style w:type="paragraph" w:customStyle="1" w:styleId="TextCharChar">
    <w:name w:val="Text Char Char"/>
    <w:basedOn w:val="Normal"/>
    <w:rsid w:val="00C566E3"/>
    <w:pPr>
      <w:widowControl w:val="0"/>
      <w:spacing w:line="252" w:lineRule="auto"/>
      <w:ind w:firstLine="202"/>
      <w:jc w:val="both"/>
    </w:pPr>
    <w:rPr>
      <w:rFonts w:eastAsia="SimSun"/>
    </w:rPr>
  </w:style>
  <w:style w:type="paragraph" w:styleId="Caption">
    <w:name w:val="caption"/>
    <w:basedOn w:val="Normal"/>
    <w:next w:val="Normal"/>
    <w:uiPriority w:val="35"/>
    <w:unhideWhenUsed/>
    <w:qFormat/>
    <w:rsid w:val="00C566E3"/>
    <w:pPr>
      <w:autoSpaceDE/>
      <w:autoSpaceDN/>
      <w:spacing w:after="200"/>
    </w:pPr>
    <w:rPr>
      <w:rFonts w:asciiTheme="minorHAnsi" w:eastAsiaTheme="minorHAnsi" w:hAnsiTheme="minorHAnsi" w:cstheme="minorBidi"/>
      <w:i/>
      <w:iCs/>
      <w:color w:val="1F497D" w:themeColor="text2"/>
      <w:sz w:val="18"/>
      <w:szCs w:val="18"/>
    </w:rPr>
  </w:style>
  <w:style w:type="paragraph" w:customStyle="1" w:styleId="EndNoteBibliographyTitle">
    <w:name w:val="EndNote Bibliography Title"/>
    <w:basedOn w:val="Normal"/>
    <w:link w:val="EndNoteBibliographyTitleChar"/>
    <w:rsid w:val="00C566E3"/>
    <w:pPr>
      <w:jc w:val="center"/>
    </w:pPr>
    <w:rPr>
      <w:noProof/>
      <w:sz w:val="16"/>
    </w:rPr>
  </w:style>
  <w:style w:type="character" w:customStyle="1" w:styleId="ReferencesChar">
    <w:name w:val="References Char"/>
    <w:basedOn w:val="DefaultParagraphFont"/>
    <w:link w:val="References"/>
    <w:rsid w:val="00C566E3"/>
    <w:rPr>
      <w:sz w:val="16"/>
      <w:szCs w:val="16"/>
    </w:rPr>
  </w:style>
  <w:style w:type="character" w:customStyle="1" w:styleId="EndNoteBibliographyTitleChar">
    <w:name w:val="EndNote Bibliography Title Char"/>
    <w:basedOn w:val="ReferencesChar"/>
    <w:link w:val="EndNoteBibliographyTitle"/>
    <w:rsid w:val="00C566E3"/>
    <w:rPr>
      <w:noProof/>
      <w:sz w:val="16"/>
      <w:szCs w:val="16"/>
    </w:rPr>
  </w:style>
  <w:style w:type="paragraph" w:customStyle="1" w:styleId="EndNoteBibliography">
    <w:name w:val="EndNote Bibliography"/>
    <w:basedOn w:val="Normal"/>
    <w:link w:val="EndNoteBibliographyChar"/>
    <w:rsid w:val="00C566E3"/>
    <w:pPr>
      <w:jc w:val="both"/>
    </w:pPr>
    <w:rPr>
      <w:noProof/>
      <w:sz w:val="16"/>
    </w:rPr>
  </w:style>
  <w:style w:type="character" w:customStyle="1" w:styleId="EndNoteBibliographyChar">
    <w:name w:val="EndNote Bibliography Char"/>
    <w:basedOn w:val="ReferencesChar"/>
    <w:link w:val="EndNoteBibliography"/>
    <w:rsid w:val="00C566E3"/>
    <w:rPr>
      <w:noProof/>
      <w:sz w:val="16"/>
      <w:szCs w:val="16"/>
    </w:rPr>
  </w:style>
  <w:style w:type="paragraph" w:styleId="BalloonText">
    <w:name w:val="Balloon Text"/>
    <w:basedOn w:val="Normal"/>
    <w:link w:val="BalloonTextChar"/>
    <w:semiHidden/>
    <w:unhideWhenUsed/>
    <w:rsid w:val="00FB46DE"/>
    <w:rPr>
      <w:rFonts w:ascii="Segoe UI" w:hAnsi="Segoe UI" w:cs="Segoe UI"/>
      <w:sz w:val="18"/>
      <w:szCs w:val="18"/>
    </w:rPr>
  </w:style>
  <w:style w:type="character" w:customStyle="1" w:styleId="BalloonTextChar">
    <w:name w:val="Balloon Text Char"/>
    <w:basedOn w:val="DefaultParagraphFont"/>
    <w:link w:val="BalloonText"/>
    <w:semiHidden/>
    <w:rsid w:val="00FB46DE"/>
    <w:rPr>
      <w:rFonts w:ascii="Segoe UI" w:hAnsi="Segoe UI" w:cs="Segoe UI"/>
      <w:sz w:val="18"/>
      <w:szCs w:val="18"/>
    </w:rPr>
  </w:style>
  <w:style w:type="paragraph" w:styleId="NormalWeb">
    <w:name w:val="Normal (Web)"/>
    <w:basedOn w:val="Normal"/>
    <w:uiPriority w:val="99"/>
    <w:unhideWhenUsed/>
    <w:rsid w:val="006978BD"/>
    <w:pPr>
      <w:autoSpaceDE/>
      <w:autoSpaceDN/>
    </w:pPr>
    <w:rPr>
      <w:rFonts w:ascii="Calibri" w:eastAsiaTheme="minorHAnsi" w:hAnsi="Calibri" w:cs="Calibri"/>
      <w:sz w:val="22"/>
      <w:szCs w:val="22"/>
    </w:rPr>
  </w:style>
  <w:style w:type="character" w:customStyle="1" w:styleId="FootnoteTextChar">
    <w:name w:val="Footnote Text Char"/>
    <w:basedOn w:val="DefaultParagraphFont"/>
    <w:link w:val="FootnoteText"/>
    <w:uiPriority w:val="99"/>
    <w:semiHidden/>
    <w:rsid w:val="00FE17D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840539">
      <w:bodyDiv w:val="1"/>
      <w:marLeft w:val="0"/>
      <w:marRight w:val="0"/>
      <w:marTop w:val="0"/>
      <w:marBottom w:val="0"/>
      <w:divBdr>
        <w:top w:val="none" w:sz="0" w:space="0" w:color="auto"/>
        <w:left w:val="none" w:sz="0" w:space="0" w:color="auto"/>
        <w:bottom w:val="none" w:sz="0" w:space="0" w:color="auto"/>
        <w:right w:val="none" w:sz="0" w:space="0" w:color="auto"/>
      </w:divBdr>
    </w:div>
    <w:div w:id="780952364">
      <w:bodyDiv w:val="1"/>
      <w:marLeft w:val="0"/>
      <w:marRight w:val="0"/>
      <w:marTop w:val="0"/>
      <w:marBottom w:val="0"/>
      <w:divBdr>
        <w:top w:val="none" w:sz="0" w:space="0" w:color="auto"/>
        <w:left w:val="none" w:sz="0" w:space="0" w:color="auto"/>
        <w:bottom w:val="none" w:sz="0" w:space="0" w:color="auto"/>
        <w:right w:val="none" w:sz="0" w:space="0" w:color="auto"/>
      </w:divBdr>
    </w:div>
    <w:div w:id="1106075816">
      <w:bodyDiv w:val="1"/>
      <w:marLeft w:val="0"/>
      <w:marRight w:val="0"/>
      <w:marTop w:val="0"/>
      <w:marBottom w:val="0"/>
      <w:divBdr>
        <w:top w:val="none" w:sz="0" w:space="0" w:color="auto"/>
        <w:left w:val="none" w:sz="0" w:space="0" w:color="auto"/>
        <w:bottom w:val="none" w:sz="0" w:space="0" w:color="auto"/>
        <w:right w:val="none" w:sz="0" w:space="0" w:color="auto"/>
      </w:divBdr>
      <w:divsChild>
        <w:div w:id="780799896">
          <w:marLeft w:val="0"/>
          <w:marRight w:val="0"/>
          <w:marTop w:val="0"/>
          <w:marBottom w:val="0"/>
          <w:divBdr>
            <w:top w:val="none" w:sz="0" w:space="0" w:color="auto"/>
            <w:left w:val="none" w:sz="0" w:space="0" w:color="auto"/>
            <w:bottom w:val="none" w:sz="0" w:space="0" w:color="auto"/>
            <w:right w:val="none" w:sz="0" w:space="0" w:color="auto"/>
          </w:divBdr>
          <w:divsChild>
            <w:div w:id="936905287">
              <w:marLeft w:val="0"/>
              <w:marRight w:val="0"/>
              <w:marTop w:val="0"/>
              <w:marBottom w:val="0"/>
              <w:divBdr>
                <w:top w:val="none" w:sz="0" w:space="0" w:color="auto"/>
                <w:left w:val="none" w:sz="0" w:space="0" w:color="auto"/>
                <w:bottom w:val="none" w:sz="0" w:space="0" w:color="auto"/>
                <w:right w:val="none" w:sz="0" w:space="0" w:color="auto"/>
              </w:divBdr>
            </w:div>
            <w:div w:id="1609965862">
              <w:marLeft w:val="0"/>
              <w:marRight w:val="0"/>
              <w:marTop w:val="0"/>
              <w:marBottom w:val="0"/>
              <w:divBdr>
                <w:top w:val="none" w:sz="0" w:space="0" w:color="auto"/>
                <w:left w:val="none" w:sz="0" w:space="0" w:color="auto"/>
                <w:bottom w:val="none" w:sz="0" w:space="0" w:color="auto"/>
                <w:right w:val="none" w:sz="0" w:space="0" w:color="auto"/>
              </w:divBdr>
            </w:div>
            <w:div w:id="13936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841">
      <w:bodyDiv w:val="1"/>
      <w:marLeft w:val="0"/>
      <w:marRight w:val="0"/>
      <w:marTop w:val="0"/>
      <w:marBottom w:val="0"/>
      <w:divBdr>
        <w:top w:val="none" w:sz="0" w:space="0" w:color="auto"/>
        <w:left w:val="none" w:sz="0" w:space="0" w:color="auto"/>
        <w:bottom w:val="none" w:sz="0" w:space="0" w:color="auto"/>
        <w:right w:val="none" w:sz="0" w:space="0" w:color="auto"/>
      </w:divBdr>
    </w:div>
    <w:div w:id="184296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nairs@missouri.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tito\AppData\Local\Tem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CB71A-79BF-4BDB-AE55-5E7E071ED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ieeeconf_A4.dot</Template>
  <TotalTime>858</TotalTime>
  <Pages>4</Pages>
  <Words>4717</Words>
  <Characters>26889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pete canfield</cp:lastModifiedBy>
  <cp:revision>23</cp:revision>
  <cp:lastPrinted>2012-01-31T04:17:00Z</cp:lastPrinted>
  <dcterms:created xsi:type="dcterms:W3CDTF">2020-12-09T04:15:00Z</dcterms:created>
  <dcterms:modified xsi:type="dcterms:W3CDTF">2020-12-22T05:43:00Z</dcterms:modified>
</cp:coreProperties>
</file>