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1B5C6A13"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w:t>
      </w:r>
      <w:r w:rsidR="00267926">
        <w:rPr>
          <w:b/>
          <w:bCs/>
          <w:sz w:val="32"/>
          <w:szCs w:val="32"/>
        </w:rPr>
        <w:t>E</w:t>
      </w:r>
      <w:r w:rsidRPr="00292AD5">
        <w:rPr>
          <w:b/>
          <w:bCs/>
          <w:sz w:val="32"/>
          <w:szCs w:val="32"/>
        </w:rPr>
        <w:t xml:space="preserve">fficient </w:t>
      </w:r>
      <w:r w:rsidR="00267926">
        <w:rPr>
          <w:b/>
          <w:bCs/>
          <w:sz w:val="32"/>
          <w:szCs w:val="32"/>
        </w:rPr>
        <w:t>P</w:t>
      </w:r>
      <w:r w:rsidRPr="00292AD5">
        <w:rPr>
          <w:b/>
          <w:bCs/>
          <w:sz w:val="32"/>
          <w:szCs w:val="32"/>
        </w:rPr>
        <w:t xml:space="preserve">ipeline for </w:t>
      </w:r>
      <w:r w:rsidR="00267926">
        <w:rPr>
          <w:b/>
          <w:bCs/>
          <w:sz w:val="32"/>
          <w:szCs w:val="32"/>
        </w:rPr>
        <w:t>B</w:t>
      </w:r>
      <w:r w:rsidR="00292AD5">
        <w:rPr>
          <w:b/>
          <w:bCs/>
          <w:sz w:val="32"/>
          <w:szCs w:val="32"/>
        </w:rPr>
        <w:t xml:space="preserve">iophysical </w:t>
      </w:r>
      <w:r w:rsidR="00267926">
        <w:rPr>
          <w:b/>
          <w:bCs/>
          <w:sz w:val="32"/>
          <w:szCs w:val="32"/>
        </w:rPr>
        <w:t>M</w:t>
      </w:r>
      <w:r w:rsidR="00292AD5">
        <w:rPr>
          <w:b/>
          <w:bCs/>
          <w:sz w:val="32"/>
          <w:szCs w:val="32"/>
        </w:rPr>
        <w:t>odeling</w:t>
      </w:r>
      <w:r w:rsidRPr="00292AD5">
        <w:rPr>
          <w:b/>
          <w:bCs/>
          <w:sz w:val="32"/>
          <w:szCs w:val="32"/>
        </w:rPr>
        <w:t xml:space="preserve"> of </w:t>
      </w:r>
      <w:r w:rsidR="00267926">
        <w:rPr>
          <w:b/>
          <w:bCs/>
          <w:sz w:val="32"/>
          <w:szCs w:val="32"/>
        </w:rPr>
        <w:t>N</w:t>
      </w:r>
      <w:r w:rsidRPr="00292AD5">
        <w:rPr>
          <w:b/>
          <w:bCs/>
          <w:sz w:val="32"/>
          <w:szCs w:val="32"/>
        </w:rPr>
        <w:t>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 xml:space="preserve">Automation of the process of developing biophysical conductance-based neuronal models involves the selection of numerous interacting parameters, making the overall process computationally intensive, </w:t>
      </w:r>
      <w:proofErr w:type="gramStart"/>
      <w:r w:rsidR="00C566E3" w:rsidRPr="00C566E3">
        <w:rPr>
          <w:b/>
          <w:bCs/>
          <w:sz w:val="18"/>
          <w:szCs w:val="18"/>
        </w:rPr>
        <w:t>complex</w:t>
      </w:r>
      <w:proofErr w:type="gramEnd"/>
      <w:r w:rsidR="00C566E3" w:rsidRPr="00C566E3">
        <w:rPr>
          <w:b/>
          <w:bCs/>
          <w:sz w:val="18"/>
          <w:szCs w:val="18"/>
        </w:rPr>
        <w:t xml:space="preserve">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18A2D863"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dynamics.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3A541DB0"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7EBC36B2" w14:textId="5F266DA1" w:rsidR="00267926" w:rsidRDefault="00267926" w:rsidP="00C566E3">
      <w:pPr>
        <w:rPr>
          <w:bCs/>
          <w:i/>
        </w:rPr>
      </w:pPr>
      <w:r>
        <w:rPr>
          <w:bCs/>
          <w:i/>
        </w:rPr>
        <w:t xml:space="preserve">A.   </w:t>
      </w:r>
      <w:r w:rsidR="00C566E3" w:rsidRPr="00C566E3">
        <w:rPr>
          <w:bCs/>
          <w:i/>
        </w:rPr>
        <w:t xml:space="preserve">Mathematical equations for voltage-dependent ionic currents: </w:t>
      </w:r>
    </w:p>
    <w:p w14:paraId="3E7D4CD2" w14:textId="40F47F16" w:rsidR="00C566E3" w:rsidRPr="00C566E3" w:rsidRDefault="00C566E3" w:rsidP="00C566E3">
      <w:pPr>
        <w:rPr>
          <w:bCs/>
          <w:i/>
        </w:rPr>
      </w:pP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AF0AFC"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4803CCF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AF0AFC"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1A53E107" w14:textId="77777777" w:rsidR="00DC10A0" w:rsidRDefault="00C566E3" w:rsidP="00C566E3">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in eqn. 1. The procedure for selecting the channel currents </w:t>
      </w:r>
      <w:r w:rsidRPr="00C566E3">
        <w:lastRenderedPageBreak/>
        <w:t>and their model parameters are described next using an approach we proposed recently.</w:t>
      </w:r>
    </w:p>
    <w:p w14:paraId="1CA20121" w14:textId="77777777" w:rsidR="00267926" w:rsidRDefault="00C566E3" w:rsidP="00C566E3">
      <w:pPr>
        <w:rPr>
          <w:color w:val="000000"/>
        </w:rPr>
      </w:pPr>
      <w:r w:rsidRPr="00C566E3">
        <w:rPr>
          <w:bCs/>
        </w:rPr>
        <w:br/>
      </w:r>
      <w:r w:rsidR="00267926">
        <w:rPr>
          <w:bCs/>
          <w:i/>
          <w:iCs/>
        </w:rPr>
        <w:t xml:space="preserve">B.   </w:t>
      </w:r>
      <w:r w:rsidRPr="00C566E3">
        <w:rPr>
          <w:bCs/>
          <w:i/>
          <w:iCs/>
        </w:rPr>
        <w:t>Segregation hypothesis in single cell design</w:t>
      </w:r>
      <w:r w:rsidRPr="00C566E3">
        <w:rPr>
          <w:color w:val="000000"/>
        </w:rPr>
        <w:t xml:space="preserve">. </w:t>
      </w:r>
    </w:p>
    <w:p w14:paraId="0A2C2FF2" w14:textId="7195D890" w:rsidR="00C566E3" w:rsidRPr="00C566E3" w:rsidRDefault="00C566E3" w:rsidP="00C566E3">
      <w:pPr>
        <w:rPr>
          <w:color w:val="000000"/>
        </w:rPr>
      </w:pPr>
      <w:r w:rsidRPr="00C566E3">
        <w:rPr>
          <w:color w:val="000000"/>
        </w:rPr>
        <w:t>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w:t>
      </w:r>
      <w:proofErr w:type="gramStart"/>
      <w:r w:rsidRPr="00C566E3">
        <w:rPr>
          <w:color w:val="000000"/>
        </w:rPr>
        <w:t>leak</w:t>
      </w:r>
      <w:proofErr w:type="gramEnd"/>
      <w:r w:rsidRPr="00C566E3">
        <w:rPr>
          <w:color w:val="000000"/>
        </w:rPr>
        <w:t xml:space="preserve"> and the hyperpolarization-activated cation current H (passive module) are responsible for passive properties. </w:t>
      </w:r>
      <w:r w:rsidRPr="00DC10A0">
        <w:rPr>
          <w:color w:val="000000"/>
        </w:rPr>
        <w:t>Similarly, leak, transient sodium Nat</w:t>
      </w:r>
      <w:r w:rsidR="004929F3" w:rsidRPr="00DC10A0">
        <w:rPr>
          <w:color w:val="000000"/>
        </w:rPr>
        <w:t>,</w:t>
      </w:r>
      <w:r w:rsidRPr="00DC10A0">
        <w:rPr>
          <w:color w:val="000000"/>
        </w:rPr>
        <w:t xml:space="preserve"> and delayed rectifier </w:t>
      </w:r>
      <w:proofErr w:type="spellStart"/>
      <w:r w:rsidRPr="00DC10A0">
        <w:rPr>
          <w:color w:val="000000"/>
        </w:rPr>
        <w:t>Kdr</w:t>
      </w:r>
      <w:proofErr w:type="spellEnd"/>
      <w:r w:rsidRPr="00DC10A0">
        <w:rPr>
          <w:color w:val="000000"/>
        </w:rPr>
        <w:t xml:space="preserve"> currents set the spiking properties for the spiking module</w:t>
      </w:r>
      <w:r w:rsidRPr="00C566E3">
        <w:rPr>
          <w:color w:val="000000"/>
        </w:rPr>
        <w:t xml:space="preserv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5C70E1DE" w14:textId="703398CC" w:rsidR="00267926" w:rsidRDefault="00267926" w:rsidP="00C566E3">
      <w:pPr>
        <w:rPr>
          <w:color w:val="000000"/>
        </w:rPr>
      </w:pPr>
      <w:r>
        <w:rPr>
          <w:bCs/>
          <w:i/>
          <w:iCs/>
        </w:rPr>
        <w:t xml:space="preserve">C.   </w:t>
      </w:r>
      <w:r w:rsidR="00C566E3" w:rsidRPr="00C566E3">
        <w:rPr>
          <w:bCs/>
          <w:i/>
          <w:iCs/>
        </w:rPr>
        <w:t>Design of the Nap-KM module as option 1 for adaptation/bursting properties</w:t>
      </w:r>
      <w:r w:rsidR="00C566E3" w:rsidRPr="00C566E3">
        <w:rPr>
          <w:color w:val="000000"/>
        </w:rPr>
        <w:t xml:space="preserve">. </w:t>
      </w:r>
    </w:p>
    <w:p w14:paraId="6BDC9C8B" w14:textId="60489B0B" w:rsidR="00C566E3" w:rsidRPr="00C566E3" w:rsidRDefault="00C566E3" w:rsidP="00C566E3">
      <w:pPr>
        <w:rPr>
          <w:color w:val="000000"/>
        </w:rPr>
      </w:pPr>
      <w:r w:rsidRPr="00C566E3">
        <w:rPr>
          <w:color w:val="000000"/>
        </w:rPr>
        <w:t xml:space="preserve">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w:t>
      </w:r>
      <w:proofErr w:type="spellStart"/>
      <w:r w:rsidRPr="00C566E3">
        <w:rPr>
          <w:color w:val="000000"/>
        </w:rPr>
        <w:t>Kdr</w:t>
      </w:r>
      <w:proofErr w:type="spellEnd"/>
      <w:r w:rsidRPr="00C566E3">
        <w:rPr>
          <w:color w:val="000000"/>
        </w:rPr>
        <w:t xml:space="preserve">),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38AAF915" w14:textId="490FFDEE" w:rsidR="00267926" w:rsidRDefault="00267926" w:rsidP="00C566E3">
      <w:pPr>
        <w:rPr>
          <w:color w:val="000000"/>
        </w:rPr>
      </w:pPr>
      <w:r>
        <w:rPr>
          <w:bCs/>
          <w:i/>
          <w:iCs/>
        </w:rPr>
        <w:t xml:space="preserve">D.   </w:t>
      </w:r>
      <w:r w:rsidR="00C566E3" w:rsidRPr="00C566E3">
        <w:rPr>
          <w:bCs/>
          <w:i/>
          <w:iCs/>
        </w:rPr>
        <w:t xml:space="preserve">Design of the </w:t>
      </w:r>
      <w:proofErr w:type="spellStart"/>
      <w:r w:rsidR="00C566E3" w:rsidRPr="00C566E3">
        <w:rPr>
          <w:bCs/>
          <w:i/>
          <w:iCs/>
        </w:rPr>
        <w:t>CaS-CaT-</w:t>
      </w:r>
      <w:r w:rsidR="0031792D">
        <w:rPr>
          <w:bCs/>
          <w:i/>
          <w:iCs/>
        </w:rPr>
        <w:t>sAHP</w:t>
      </w:r>
      <w:proofErr w:type="spellEnd"/>
      <w:r w:rsidR="00C566E3" w:rsidRPr="00C566E3">
        <w:rPr>
          <w:bCs/>
          <w:i/>
          <w:iCs/>
        </w:rPr>
        <w:t xml:space="preserve"> module as option 2 for adaptation/bursting properties</w:t>
      </w:r>
      <w:r w:rsidR="00C566E3" w:rsidRPr="00C566E3">
        <w:rPr>
          <w:color w:val="000000"/>
        </w:rPr>
        <w:t xml:space="preserve">. </w:t>
      </w:r>
    </w:p>
    <w:p w14:paraId="096E6A00" w14:textId="1B522039" w:rsidR="00C566E3" w:rsidRPr="00C566E3" w:rsidRDefault="00C566E3" w:rsidP="00C566E3">
      <w:pPr>
        <w:rPr>
          <w:color w:val="000000"/>
        </w:rPr>
      </w:pPr>
      <w:r w:rsidRPr="00C566E3">
        <w:rPr>
          <w:color w:val="000000"/>
        </w:rPr>
        <w:t>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proofErr w:type="spellStart"/>
      <w:r w:rsidR="0031792D">
        <w:rPr>
          <w:color w:val="000000"/>
        </w:rPr>
        <w:t>sAHP</w:t>
      </w:r>
      <w:proofErr w:type="spellEnd"/>
      <w:r w:rsidRPr="00C566E3">
        <w:rPr>
          <w:color w:val="000000"/>
        </w:rPr>
        <w:t xml:space="preserve">) currents. </w:t>
      </w:r>
    </w:p>
    <w:p w14:paraId="1C43365B" w14:textId="1F82EF8F"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w:t>
      </w:r>
      <w:proofErr w:type="gramStart"/>
      <w:r w:rsidRPr="00C566E3">
        <w:rPr>
          <w:color w:val="000000"/>
        </w:rPr>
        <w:t>Similar to</w:t>
      </w:r>
      <w:proofErr w:type="gramEnd"/>
      <w:r w:rsidRPr="00C566E3">
        <w:rPr>
          <w:color w:val="000000"/>
        </w:rPr>
        <w:t xml:space="preserve">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3717E6BD"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0B90A691" w14:textId="72EB5405"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w:t>
      </w:r>
      <w:r w:rsidRPr="00C566E3">
        <w:t xml:space="preserve">parameters of the two currents. Both channels can be segregated up to ~-60 mV in this model. </w:t>
      </w:r>
      <w:r w:rsidRPr="00C566E3">
        <w:rPr>
          <w:color w:val="000000"/>
        </w:rPr>
        <w:t xml:space="preserve">Optimizing the </w:t>
      </w:r>
    </w:p>
    <w:p w14:paraId="4B485E81" w14:textId="4D6160F1" w:rsidR="00D93BAE" w:rsidRDefault="00FE17D1"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558D321B">
                <wp:simplePos x="0" y="0"/>
                <wp:positionH relativeFrom="margin">
                  <wp:align>right</wp:align>
                </wp:positionH>
                <wp:positionV relativeFrom="paragraph">
                  <wp:posOffset>2402840</wp:posOffset>
                </wp:positionV>
                <wp:extent cx="28956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95600" cy="457200"/>
                        </a:xfrm>
                        <a:prstGeom prst="rect">
                          <a:avLst/>
                        </a:prstGeom>
                        <a:solidFill>
                          <a:prstClr val="white"/>
                        </a:solidFill>
                        <a:ln>
                          <a:noFill/>
                        </a:ln>
                      </wps:spPr>
                      <wps:txbx>
                        <w:txbxContent>
                          <w:p w14:paraId="1CCD09DE" w14:textId="0E2E6E47" w:rsidR="00D93BAE" w:rsidRPr="00CE5E14" w:rsidRDefault="00D93BAE" w:rsidP="00D93BAE">
                            <w:pPr>
                              <w:pStyle w:val="Caption"/>
                              <w:rPr>
                                <w:noProof/>
                              </w:rPr>
                            </w:pPr>
                            <w:r>
                              <w:t xml:space="preserve">Figure </w:t>
                            </w:r>
                            <w:r w:rsidR="004929F3">
                              <w:t>1</w:t>
                            </w:r>
                            <w:r>
                              <w:t xml:space="preserve">. Segregation of currents into three modules – passive (H), adapting/bursting (Nap, KM) and Spiking (Nat, </w:t>
                            </w:r>
                            <w:proofErr w:type="spellStart"/>
                            <w:r>
                              <w:t>Kdr</w:t>
                            </w:r>
                            <w:proofErr w:type="spellEnd"/>
                            <w:r>
                              <w:t>)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189.2pt;width:228pt;height:36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" stroked="f">
                <v:textbox inset="0,0,0,0">
                  <w:txbxContent>
                    <w:p w14:paraId="1CCD09DE" w14:textId="0E2E6E47" w:rsidR="00D93BAE" w:rsidRPr="00CE5E14" w:rsidRDefault="00D93BAE" w:rsidP="00D93BAE">
                      <w:pPr>
                        <w:pStyle w:val="Caption"/>
                        <w:rPr>
                          <w:noProof/>
                        </w:rPr>
                      </w:pPr>
                      <w:r>
                        <w:t xml:space="preserve">Figure </w:t>
                      </w:r>
                      <w:r w:rsidR="004929F3">
                        <w:t>1</w:t>
                      </w:r>
                      <w:r>
                        <w:t xml:space="preserve">. Segregation of currents into three modules – passive (H), adapting/bursting (Nap, KM) and Spiking (Nat, </w:t>
                      </w:r>
                      <w:proofErr w:type="spellStart"/>
                      <w:r>
                        <w:t>Kdr</w:t>
                      </w:r>
                      <w:proofErr w:type="spellEnd"/>
                      <w:r>
                        <w:t>) modules in the example hippocampal CA3 cell.</w:t>
                      </w:r>
                    </w:p>
                  </w:txbxContent>
                </v:textbox>
                <w10:wrap anchorx="margin"/>
              </v:shape>
            </w:pict>
          </mc:Fallback>
        </mc:AlternateContent>
      </w:r>
      <w:r>
        <w:rPr>
          <w:noProof/>
        </w:rPr>
        <w:drawing>
          <wp:inline distT="0" distB="0" distL="0" distR="0" wp14:anchorId="663019F2" wp14:editId="1164DBC4">
            <wp:extent cx="3108960" cy="2487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61869CEA" w14:textId="00476103" w:rsidR="00D93BAE" w:rsidRDefault="00D93BAE" w:rsidP="00C566E3">
      <w:pPr>
        <w:rPr>
          <w:color w:val="000000"/>
        </w:rPr>
      </w:pPr>
    </w:p>
    <w:p w14:paraId="03CE77E1" w14:textId="3F627B7D" w:rsidR="00D93BAE" w:rsidRDefault="00D93BAE" w:rsidP="00C566E3">
      <w:pPr>
        <w:rPr>
          <w:color w:val="000000"/>
        </w:rPr>
      </w:pPr>
    </w:p>
    <w:p w14:paraId="2EA8B977" w14:textId="52746572" w:rsidR="00D93BAE" w:rsidRPr="00F23D37" w:rsidRDefault="00D93BAE" w:rsidP="00C566E3">
      <w:pPr>
        <w:rPr>
          <w:color w:val="000000"/>
          <w:sz w:val="6"/>
          <w:szCs w:val="6"/>
        </w:rPr>
      </w:pPr>
    </w:p>
    <w:p w14:paraId="316F72C9" w14:textId="222C460C" w:rsidR="00C566E3" w:rsidRPr="00C566E3" w:rsidRDefault="00C566E3" w:rsidP="00C566E3">
      <w:pPr>
        <w:rPr>
          <w:color w:val="000000"/>
        </w:rPr>
      </w:pPr>
      <w:r w:rsidRPr="00C566E3">
        <w:rPr>
          <w:color w:val="000000"/>
        </w:rPr>
        <w:t xml:space="preserve">parameters after implementing the segregation </w:t>
      </w:r>
      <w:r w:rsidRPr="00DC10A0">
        <w:rPr>
          <w:color w:val="000000"/>
        </w:rPr>
        <w:t xml:space="preserve">(Fig. </w:t>
      </w:r>
      <w:r w:rsidR="00DC10A0" w:rsidRPr="00DC10A0">
        <w:rPr>
          <w:color w:val="000000"/>
        </w:rPr>
        <w:t>1</w:t>
      </w:r>
      <w:r w:rsidRPr="00DC10A0">
        <w:rPr>
          <w:color w:val="000000"/>
        </w:rPr>
        <w:t>)</w:t>
      </w:r>
      <w:r w:rsidRPr="00C566E3">
        <w:rPr>
          <w:color w:val="000000"/>
        </w:rPr>
        <w:t xml:space="preserve"> resulted in the following parameter set that provided the adapting characteristic shown in </w:t>
      </w:r>
      <w:r w:rsidRPr="00C81685">
        <w:rPr>
          <w:color w:val="000000"/>
        </w:rPr>
        <w:t>Fig. 2</w:t>
      </w:r>
      <w:r w:rsidR="00267926">
        <w:rPr>
          <w:color w:val="000000"/>
        </w:rPr>
        <w:t>A</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9582719" w14:textId="16EB0164" w:rsidR="00C566E3" w:rsidRPr="00B77181" w:rsidRDefault="00C566E3" w:rsidP="00B77181">
      <w:pPr>
        <w:ind w:firstLine="360"/>
        <w:rPr>
          <w:sz w:val="24"/>
          <w:szCs w:val="24"/>
        </w:rPr>
      </w:pPr>
      <w:r w:rsidRPr="00C566E3">
        <w:t xml:space="preserve">Adaptation happens when KM current builds up enough to counteract the Nap current. The time constant of KM controls the </w:t>
      </w:r>
      <w:r w:rsidR="00582132">
        <w:t xml:space="preserve">duration of the </w:t>
      </w:r>
      <w:r w:rsidRPr="00C566E3">
        <w:t xml:space="preserve">initial high frequency of the adapting characteristic. On the other hand, increasing </w:t>
      </w:r>
      <w:proofErr w:type="spellStart"/>
      <w:r w:rsidRPr="00C566E3">
        <w:t>gKM</w:t>
      </w:r>
      <w:proofErr w:type="spellEnd"/>
      <w:r w:rsidRPr="00C566E3">
        <w:t xml:space="preserve"> </w:t>
      </w:r>
      <w:r w:rsidR="00A20F15">
        <w:t xml:space="preserve">and </w:t>
      </w:r>
      <w:proofErr w:type="spellStart"/>
      <w:r w:rsidR="00A20F15">
        <w:t>gNap</w:t>
      </w:r>
      <w:proofErr w:type="spellEnd"/>
      <w:r w:rsidR="00A20F15">
        <w:t xml:space="preserve"> together </w:t>
      </w:r>
      <w:r w:rsidRPr="00C566E3">
        <w:t>(~0.17</w:t>
      </w:r>
      <w:r w:rsidR="00A20F15">
        <w:t xml:space="preserve"> and 0.001, respectively</w:t>
      </w:r>
      <w:r w:rsidRPr="00C566E3">
        <w:t xml:space="preserve">)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w:t>
      </w:r>
      <w:r w:rsidR="00A20F15">
        <w:rPr>
          <w:color w:val="000000"/>
        </w:rPr>
        <w:t xml:space="preserve">This </w:t>
      </w:r>
      <w:proofErr w:type="gramStart"/>
      <w:r w:rsidR="00A20F15">
        <w:rPr>
          <w:color w:val="000000"/>
        </w:rPr>
        <w:t>particular</w:t>
      </w:r>
      <w:r w:rsidRPr="00C566E3">
        <w:rPr>
          <w:color w:val="000000"/>
        </w:rPr>
        <w:t xml:space="preserve"> neuron</w:t>
      </w:r>
      <w:proofErr w:type="gramEnd"/>
      <w:r w:rsidRPr="00C566E3">
        <w:rPr>
          <w:color w:val="000000"/>
        </w:rPr>
        <w:t xml:space="preserve"> becomes an endogenous spiker if segregation is not implemented (Fig. 2</w:t>
      </w:r>
      <w:r w:rsidR="00267926">
        <w:rPr>
          <w:color w:val="000000"/>
        </w:rPr>
        <w:t>B</w:t>
      </w:r>
      <w:r w:rsidRPr="00C566E3">
        <w:rPr>
          <w:color w:val="000000"/>
        </w:rPr>
        <w:t>).</w:t>
      </w:r>
    </w:p>
    <w:p w14:paraId="65E0B4B5" w14:textId="1A0754F0" w:rsidR="00C566E3" w:rsidRDefault="00F23D37" w:rsidP="00C566E3">
      <w:pPr>
        <w:rPr>
          <w:sz w:val="24"/>
          <w:szCs w:val="24"/>
          <w:u w:val="single"/>
        </w:rPr>
      </w:pPr>
      <w:r>
        <w:rPr>
          <w:noProof/>
        </w:rPr>
        <mc:AlternateContent>
          <mc:Choice Requires="wps">
            <w:drawing>
              <wp:anchor distT="0" distB="0" distL="114300" distR="114300" simplePos="0" relativeHeight="251664384" behindDoc="0" locked="0" layoutInCell="1" allowOverlap="1" wp14:anchorId="28553C0C" wp14:editId="676DD841">
                <wp:simplePos x="0" y="0"/>
                <wp:positionH relativeFrom="margin">
                  <wp:posOffset>3505201</wp:posOffset>
                </wp:positionH>
                <wp:positionV relativeFrom="paragraph">
                  <wp:posOffset>2594610</wp:posOffset>
                </wp:positionV>
                <wp:extent cx="2609850" cy="3333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609850" cy="333375"/>
                        </a:xfrm>
                        <a:prstGeom prst="rect">
                          <a:avLst/>
                        </a:prstGeom>
                        <a:solidFill>
                          <a:prstClr val="white"/>
                        </a:solidFill>
                        <a:ln>
                          <a:noFill/>
                        </a:ln>
                      </wps:spPr>
                      <wps:txbx>
                        <w:txbxContent>
                          <w:p w14:paraId="6FDE4E01" w14:textId="3CF9784C" w:rsidR="006F5250" w:rsidRPr="00CE0F85" w:rsidRDefault="006F5250" w:rsidP="006F5250">
                            <w:pPr>
                              <w:pStyle w:val="Caption"/>
                              <w:rPr>
                                <w:noProof/>
                              </w:rPr>
                            </w:pPr>
                            <w:r>
                              <w:t>Figures 2</w:t>
                            </w:r>
                            <w:r w:rsidR="00267926">
                              <w:t>A</w:t>
                            </w:r>
                            <w:r>
                              <w:t xml:space="preserve"> and 2</w:t>
                            </w:r>
                            <w:r w:rsidR="00267926">
                              <w:t>B</w:t>
                            </w:r>
                            <w:r>
                              <w:t>. Adapting CA3 Pyramidal cell when segregated (</w:t>
                            </w:r>
                            <w:r w:rsidR="00F23D37">
                              <w:t>top</w:t>
                            </w:r>
                            <w:r>
                              <w:t>) and unsegregated</w:t>
                            </w:r>
                            <w:r w:rsidR="00F23D37">
                              <w:t xml:space="preserve"> </w:t>
                            </w:r>
                            <w:r>
                              <w:t>(</w:t>
                            </w:r>
                            <w:r w:rsidR="00F23D37">
                              <w:t>bottom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53C0C" id="Text Box 16" o:spid="_x0000_s1027" type="#_x0000_t202" style="position:absolute;margin-left:276pt;margin-top:204.3pt;width:205.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" stroked="f">
                <v:textbox inset="0,0,0,0">
                  <w:txbxContent>
                    <w:p w14:paraId="6FDE4E01" w14:textId="3CF9784C" w:rsidR="006F5250" w:rsidRPr="00CE0F85" w:rsidRDefault="006F5250" w:rsidP="006F5250">
                      <w:pPr>
                        <w:pStyle w:val="Caption"/>
                        <w:rPr>
                          <w:noProof/>
                        </w:rPr>
                      </w:pPr>
                      <w:r>
                        <w:t>Figures 2</w:t>
                      </w:r>
                      <w:r w:rsidR="00267926">
                        <w:t>A</w:t>
                      </w:r>
                      <w:r>
                        <w:t xml:space="preserve"> and 2</w:t>
                      </w:r>
                      <w:r w:rsidR="00267926">
                        <w:t>B</w:t>
                      </w:r>
                      <w:r>
                        <w:t>. Adapting CA3 Pyramidal cell when segregated (</w:t>
                      </w:r>
                      <w:r w:rsidR="00F23D37">
                        <w:t>top</w:t>
                      </w:r>
                      <w:r>
                        <w:t>) and unsegregated</w:t>
                      </w:r>
                      <w:r w:rsidR="00F23D37">
                        <w:t xml:space="preserve"> </w:t>
                      </w:r>
                      <w:r>
                        <w:t>(</w:t>
                      </w:r>
                      <w:r w:rsidR="00F23D37">
                        <w:t>bottom</w:t>
                      </w:r>
                      <w:r>
                        <w:t>).</w:t>
                      </w:r>
                    </w:p>
                  </w:txbxContent>
                </v:textbox>
                <w10:wrap anchorx="margin"/>
              </v:shape>
            </w:pict>
          </mc:Fallback>
        </mc:AlternateContent>
      </w:r>
      <w:r w:rsidR="005B476A">
        <w:rPr>
          <w:noProof/>
        </w:rPr>
        <w:drawing>
          <wp:inline distT="0" distB="0" distL="0" distR="0" wp14:anchorId="31068C4E" wp14:editId="10B04C04">
            <wp:extent cx="293751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68" cy="2617358"/>
                    </a:xfrm>
                    <a:prstGeom prst="rect">
                      <a:avLst/>
                    </a:prstGeom>
                    <a:noFill/>
                    <a:ln>
                      <a:noFill/>
                    </a:ln>
                  </pic:spPr>
                </pic:pic>
              </a:graphicData>
            </a:graphic>
          </wp:inline>
        </w:drawing>
      </w:r>
    </w:p>
    <w:p w14:paraId="788180A8" w14:textId="54512230" w:rsidR="00C566E3" w:rsidRDefault="00C566E3" w:rsidP="00C566E3">
      <w:pPr>
        <w:rPr>
          <w:sz w:val="24"/>
          <w:szCs w:val="24"/>
          <w:u w:val="single"/>
        </w:rPr>
      </w:pPr>
    </w:p>
    <w:p w14:paraId="7943A74B" w14:textId="0D3AB35D" w:rsidR="00D93BAE" w:rsidRDefault="00C566E3" w:rsidP="00C566E3">
      <w:pPr>
        <w:rPr>
          <w:color w:val="000000"/>
        </w:rPr>
      </w:pPr>
      <w:proofErr w:type="spellStart"/>
      <w:r w:rsidRPr="00C566E3">
        <w:rPr>
          <w:u w:val="single"/>
        </w:rPr>
        <w:lastRenderedPageBreak/>
        <w:t>CaS-CaT-</w:t>
      </w:r>
      <w:r w:rsidR="0031792D">
        <w:rPr>
          <w:u w:val="single"/>
        </w:rPr>
        <w:t>sAHP</w:t>
      </w:r>
      <w:proofErr w:type="spellEnd"/>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w:t>
      </w:r>
      <w:r w:rsidR="006978BD">
        <w:t>64</w:t>
      </w:r>
      <w:r w:rsidR="00A20F15">
        <w:t xml:space="preserve"> while</w:t>
      </w:r>
      <w:r w:rsidRPr="00C566E3">
        <w:t xml:space="preserve"> </w:t>
      </w:r>
      <w:proofErr w:type="spellStart"/>
      <w:r w:rsidRPr="00C566E3">
        <w:t>CaT</w:t>
      </w:r>
      <w:proofErr w:type="spellEnd"/>
      <w:r w:rsidR="0031792D">
        <w:t xml:space="preserve"> and </w:t>
      </w:r>
      <w:proofErr w:type="spellStart"/>
      <w:r w:rsidR="0031792D">
        <w:t>sAHP</w:t>
      </w:r>
      <w:proofErr w:type="spellEnd"/>
      <w:r w:rsidRPr="00C566E3">
        <w:t xml:space="preserve"> </w:t>
      </w:r>
      <w:r w:rsidR="00A20F15">
        <w:t>remain</w:t>
      </w:r>
      <w:r w:rsidRPr="00C566E3">
        <w:t xml:space="preserve"> unsegregated (Fig. 3</w:t>
      </w:r>
      <w:r w:rsidR="00A20F15">
        <w:t>A</w:t>
      </w:r>
      <w:r w:rsidRPr="00C566E3">
        <w:t xml:space="preserve">).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w:t>
      </w:r>
      <w:proofErr w:type="gramStart"/>
      <w:r w:rsidR="00E76E91" w:rsidRPr="00C81685">
        <w:rPr>
          <w:color w:val="000000"/>
        </w:rPr>
        <w:t>001</w:t>
      </w:r>
      <w:r w:rsidRPr="00C81685">
        <w:rPr>
          <w:color w:val="000000"/>
        </w:rPr>
        <w:t xml:space="preserve"> ,</w:t>
      </w:r>
      <w:proofErr w:type="gramEnd"/>
      <w:r w:rsidRPr="00C81685">
        <w:rPr>
          <w:color w:val="000000"/>
        </w:rPr>
        <w:t xml:space="preserve">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w:t>
      </w:r>
    </w:p>
    <w:p w14:paraId="4DB991A5" w14:textId="471475B6" w:rsidR="00D93BAE" w:rsidRDefault="00FE17D1" w:rsidP="00C566E3">
      <w:pPr>
        <w:rPr>
          <w:color w:val="000000"/>
        </w:rPr>
      </w:pPr>
      <w:r>
        <w:rPr>
          <w:noProof/>
        </w:rPr>
        <w:drawing>
          <wp:inline distT="0" distB="0" distL="0" distR="0" wp14:anchorId="6F29646A" wp14:editId="20C135DD">
            <wp:extent cx="3108960" cy="2487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xml:space="preserve">) and Spiking (Nat, </w:t>
                            </w:r>
                            <w:proofErr w:type="spellStart"/>
                            <w:r>
                              <w:t>Kdr</w:t>
                            </w:r>
                            <w:proofErr w:type="spellEnd"/>
                            <w:r>
                              <w:t>)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xml:space="preserve">) and Spiking (Nat, </w:t>
                      </w:r>
                      <w:proofErr w:type="spellStart"/>
                      <w:r>
                        <w:t>Kdr</w:t>
                      </w:r>
                      <w:proofErr w:type="spellEnd"/>
                      <w:r>
                        <w:t>)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0DA32E35" w14:textId="2C845A2E" w:rsidR="00C566E3" w:rsidRPr="00F23D37" w:rsidRDefault="00F23D37" w:rsidP="003A2DC9">
      <w:pPr>
        <w:pStyle w:val="NormalWeb"/>
        <w:rPr>
          <w:rFonts w:ascii="Times New Roman" w:hAnsi="Times New Roman" w:cs="Times New Roman"/>
          <w:color w:val="000000"/>
          <w:sz w:val="20"/>
          <w:szCs w:val="20"/>
        </w:rPr>
      </w:pPr>
      <w:r w:rsidRPr="00F23D37">
        <w:rPr>
          <w:rFonts w:ascii="Times New Roman" w:hAnsi="Times New Roman" w:cs="Times New Roman"/>
          <w:color w:val="000000"/>
          <w:sz w:val="20"/>
          <w:szCs w:val="20"/>
        </w:rPr>
        <w:t xml:space="preserve">resulted in </w:t>
      </w:r>
      <w:r w:rsidR="006978BD" w:rsidRPr="00F23D37">
        <w:rPr>
          <w:rFonts w:ascii="Times New Roman" w:hAnsi="Times New Roman" w:cs="Times New Roman"/>
          <w:color w:val="000000"/>
          <w:sz w:val="20"/>
          <w:szCs w:val="20"/>
        </w:rPr>
        <w:t>a bursting profile</w:t>
      </w:r>
      <w:r w:rsidR="00C566E3" w:rsidRPr="00F23D37">
        <w:rPr>
          <w:rFonts w:ascii="Times New Roman" w:hAnsi="Times New Roman" w:cs="Times New Roman"/>
          <w:color w:val="000000"/>
          <w:sz w:val="20"/>
          <w:szCs w:val="20"/>
        </w:rPr>
        <w:t xml:space="preserve">. </w:t>
      </w:r>
      <w:r w:rsidR="006978BD" w:rsidRPr="00F23D37">
        <w:rPr>
          <w:rFonts w:ascii="Times New Roman" w:hAnsi="Times New Roman" w:cs="Times New Roman"/>
          <w:color w:val="000000"/>
          <w:sz w:val="20"/>
          <w:szCs w:val="20"/>
        </w:rPr>
        <w:t xml:space="preserve">Without segregation, the </w:t>
      </w:r>
      <w:proofErr w:type="spellStart"/>
      <w:r w:rsidR="006978BD" w:rsidRPr="00F23D37">
        <w:rPr>
          <w:rFonts w:ascii="Times New Roman" w:hAnsi="Times New Roman" w:cs="Times New Roman"/>
          <w:color w:val="000000"/>
          <w:sz w:val="20"/>
          <w:szCs w:val="20"/>
        </w:rPr>
        <w:t>Ca</w:t>
      </w:r>
      <w:r>
        <w:rPr>
          <w:rFonts w:ascii="Times New Roman" w:hAnsi="Times New Roman" w:cs="Times New Roman"/>
          <w:color w:val="000000"/>
          <w:sz w:val="20"/>
          <w:szCs w:val="20"/>
        </w:rPr>
        <w:t>S</w:t>
      </w:r>
      <w:r w:rsidR="006978BD" w:rsidRPr="00F23D37">
        <w:rPr>
          <w:rFonts w:ascii="Times New Roman" w:hAnsi="Times New Roman" w:cs="Times New Roman"/>
          <w:color w:val="000000"/>
          <w:sz w:val="20"/>
          <w:szCs w:val="20"/>
        </w:rPr>
        <w:t>-Ca</w:t>
      </w:r>
      <w:r>
        <w:rPr>
          <w:rFonts w:ascii="Times New Roman" w:hAnsi="Times New Roman" w:cs="Times New Roman"/>
          <w:color w:val="000000"/>
          <w:sz w:val="20"/>
          <w:szCs w:val="20"/>
        </w:rPr>
        <w:t>T</w:t>
      </w:r>
      <w:r w:rsidR="006978BD" w:rsidRPr="00F23D37">
        <w:rPr>
          <w:rFonts w:ascii="Times New Roman" w:hAnsi="Times New Roman" w:cs="Times New Roman"/>
          <w:color w:val="000000"/>
          <w:sz w:val="20"/>
          <w:szCs w:val="20"/>
        </w:rPr>
        <w:t>-sAHP</w:t>
      </w:r>
      <w:proofErr w:type="spellEnd"/>
      <w:r w:rsidR="006978BD" w:rsidRPr="00F23D37">
        <w:rPr>
          <w:rFonts w:ascii="Times New Roman" w:hAnsi="Times New Roman" w:cs="Times New Roman"/>
          <w:color w:val="000000"/>
          <w:sz w:val="20"/>
          <w:szCs w:val="20"/>
        </w:rPr>
        <w:t xml:space="preserve"> module will offset RMP by around 0.3mV. </w:t>
      </w:r>
      <w:proofErr w:type="spellStart"/>
      <w:r w:rsidR="006978BD" w:rsidRPr="00F23D37">
        <w:rPr>
          <w:rFonts w:ascii="Times New Roman" w:hAnsi="Times New Roman" w:cs="Times New Roman"/>
          <w:color w:val="000000"/>
          <w:sz w:val="20"/>
          <w:szCs w:val="20"/>
        </w:rPr>
        <w:t>Eleak</w:t>
      </w:r>
      <w:proofErr w:type="spellEnd"/>
      <w:r w:rsidR="006978BD" w:rsidRPr="00F23D37">
        <w:rPr>
          <w:rFonts w:ascii="Times New Roman" w:hAnsi="Times New Roman" w:cs="Times New Roman"/>
          <w:color w:val="000000"/>
          <w:sz w:val="20"/>
          <w:szCs w:val="20"/>
        </w:rPr>
        <w:t xml:space="preserve"> can be altered to account for this change; however, altering </w:t>
      </w:r>
      <w:proofErr w:type="spellStart"/>
      <w:r w:rsidR="006978BD" w:rsidRPr="00F23D37">
        <w:rPr>
          <w:rFonts w:ascii="Times New Roman" w:hAnsi="Times New Roman" w:cs="Times New Roman"/>
          <w:color w:val="000000"/>
          <w:sz w:val="20"/>
          <w:szCs w:val="20"/>
        </w:rPr>
        <w:t>Eleak</w:t>
      </w:r>
      <w:proofErr w:type="spellEnd"/>
      <w:r w:rsidR="006978BD" w:rsidRPr="00F23D37">
        <w:rPr>
          <w:rFonts w:ascii="Times New Roman" w:hAnsi="Times New Roman" w:cs="Times New Roman"/>
          <w:color w:val="000000"/>
          <w:sz w:val="20"/>
          <w:szCs w:val="20"/>
        </w:rPr>
        <w:t xml:space="preserve"> will result in a change in both IBI and spikes per burst. Fixing these differences requires a </w:t>
      </w:r>
      <w:proofErr w:type="gramStart"/>
      <w:r w:rsidR="006978BD" w:rsidRPr="00F23D37">
        <w:rPr>
          <w:rFonts w:ascii="Times New Roman" w:hAnsi="Times New Roman" w:cs="Times New Roman"/>
          <w:color w:val="000000"/>
          <w:sz w:val="20"/>
          <w:szCs w:val="20"/>
        </w:rPr>
        <w:t>time consuming</w:t>
      </w:r>
      <w:proofErr w:type="gramEnd"/>
      <w:r w:rsidR="006978BD" w:rsidRPr="00F23D37">
        <w:rPr>
          <w:rFonts w:ascii="Times New Roman" w:hAnsi="Times New Roman" w:cs="Times New Roman"/>
          <w:color w:val="000000"/>
          <w:sz w:val="20"/>
          <w:szCs w:val="20"/>
        </w:rPr>
        <w:t xml:space="preserve"> retuning of the cell which is less preferable compared to the alternative of segregating the Cas channel </w:t>
      </w:r>
      <w:r>
        <w:rPr>
          <w:rFonts w:ascii="Times New Roman" w:hAnsi="Times New Roman" w:cs="Times New Roman"/>
          <w:color w:val="000000"/>
          <w:sz w:val="20"/>
          <w:szCs w:val="20"/>
        </w:rPr>
        <w:t>appropriately</w:t>
      </w:r>
      <w:r w:rsidR="006978BD" w:rsidRPr="00F23D37">
        <w:rPr>
          <w:rFonts w:ascii="Times New Roman" w:hAnsi="Times New Roman" w:cs="Times New Roman"/>
          <w:color w:val="000000"/>
          <w:sz w:val="20"/>
          <w:szCs w:val="20"/>
        </w:rPr>
        <w:t>.</w:t>
      </w:r>
    </w:p>
    <w:p w14:paraId="48306C43" w14:textId="1FFA150C" w:rsidR="00C566E3" w:rsidRDefault="0072303E" w:rsidP="0072303E">
      <w:r>
        <w:t xml:space="preserve">       </w:t>
      </w:r>
      <w:r w:rsidR="00C566E3" w:rsidRPr="00C566E3">
        <w:t xml:space="preserve">Bursting is controlled in this module by </w:t>
      </w:r>
      <w:r w:rsidR="00C566E3" w:rsidRPr="00C566E3">
        <w:rPr>
          <w:rFonts w:ascii="Symbol" w:hAnsi="Symbol"/>
        </w:rPr>
        <w:t>t</w:t>
      </w:r>
      <w:proofErr w:type="spellStart"/>
      <w:r w:rsidR="0031792D">
        <w:rPr>
          <w:vertAlign w:val="subscript"/>
        </w:rPr>
        <w:t>sAHP</w:t>
      </w:r>
      <w:proofErr w:type="spellEnd"/>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proofErr w:type="spellStart"/>
      <w:r w:rsidR="0031792D">
        <w:rPr>
          <w:vertAlign w:val="subscript"/>
        </w:rPr>
        <w:t>sAHP</w:t>
      </w:r>
      <w:proofErr w:type="spellEnd"/>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CaS-CaT-sAHP</w:t>
      </w:r>
      <w:proofErr w:type="spellEnd"/>
      <w:r>
        <w:t xml:space="preserve">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w:t>
      </w:r>
      <w:proofErr w:type="spellStart"/>
      <w:r>
        <w:t>ms</w:t>
      </w:r>
      <w:proofErr w:type="spellEnd"/>
      <w:r>
        <w:t xml:space="preserve"> and 120 </w:t>
      </w:r>
      <w:proofErr w:type="spellStart"/>
      <w:r>
        <w:t>ms</w:t>
      </w:r>
      <w:proofErr w:type="spellEnd"/>
      <w:r>
        <w:t xml:space="preserve">, respectively (REF). The maximum spike frequency was 125 Hz. (ii) For the </w:t>
      </w:r>
      <w:proofErr w:type="spellStart"/>
      <w:r>
        <w:t>CaS-CaT-sAHP</w:t>
      </w:r>
      <w:proofErr w:type="spellEnd"/>
      <w:r>
        <w:t xml:space="preserve"> module, the minimum IBI was 120 </w:t>
      </w:r>
      <w:proofErr w:type="spellStart"/>
      <w:r>
        <w:t>ms</w:t>
      </w:r>
      <w:proofErr w:type="spellEnd"/>
      <w:r>
        <w:t xml:space="preserve">, set by the minimum time constant for the Ca2+ pool to permit </w:t>
      </w:r>
      <w:proofErr w:type="spellStart"/>
      <w:r>
        <w:t>sAHP</w:t>
      </w:r>
      <w:proofErr w:type="spellEnd"/>
      <w:r>
        <w:t xml:space="preserve"> to activate. Ranges were not found to set the maximum on the IBI in this 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w:t>
      </w:r>
      <w:proofErr w:type="spellStart"/>
      <w:r>
        <w:t>sAHP</w:t>
      </w:r>
      <w:proofErr w:type="spellEnd"/>
      <w:r>
        <w:t xml:space="preserve">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w:t>
      </w:r>
      <w:r w:rsidR="0072303E">
        <w:t xml:space="preserve">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CaS-CaT-sAHP</w:t>
      </w:r>
      <w:proofErr w:type="spellEnd"/>
      <w:r w:rsidR="0072303E">
        <w:t xml:space="preserve">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_</w:t>
      </w:r>
      <w:proofErr w:type="spellStart"/>
      <w:r w:rsidR="0072303E">
        <w:t>sAHP</w:t>
      </w:r>
      <w:proofErr w:type="spellEnd"/>
      <w:r w:rsidR="0072303E">
        <w:t xml:space="preserve">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w:t>
      </w:r>
      <w:proofErr w:type="spellStart"/>
      <w:r w:rsidR="0072303E">
        <w:t>sAHP</w:t>
      </w:r>
      <w:proofErr w:type="spellEnd"/>
      <w:r w:rsidR="0072303E">
        <w:t>.</w:t>
      </w:r>
    </w:p>
    <w:p w14:paraId="67929335" w14:textId="620E901B" w:rsidR="00D93BAE" w:rsidRDefault="00FE17D1" w:rsidP="00C566E3">
      <w:pPr>
        <w:rPr>
          <w:b/>
          <w:bCs/>
        </w:rPr>
      </w:pPr>
      <w:r>
        <w:rPr>
          <w:noProof/>
        </w:rPr>
        <mc:AlternateContent>
          <mc:Choice Requires="wps">
            <w:drawing>
              <wp:anchor distT="0" distB="0" distL="114300" distR="114300" simplePos="0" relativeHeight="251672576" behindDoc="0" locked="0" layoutInCell="1" allowOverlap="1" wp14:anchorId="5A4889F1" wp14:editId="0BA8ED8C">
                <wp:simplePos x="0" y="0"/>
                <wp:positionH relativeFrom="column">
                  <wp:posOffset>91440</wp:posOffset>
                </wp:positionH>
                <wp:positionV relativeFrom="paragraph">
                  <wp:posOffset>2418080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89F1" id="Text Box 20" o:spid="_x0000_s1029" type="#_x0000_t202" style="position:absolute;margin-left:7.2pt;margin-top:190.4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v:textbox>
              </v:shape>
            </w:pict>
          </mc:Fallback>
        </mc:AlternateContent>
      </w:r>
      <w:r>
        <w:rPr>
          <w:noProof/>
        </w:rPr>
        <w:drawing>
          <wp:inline distT="0" distB="0" distL="0" distR="0" wp14:anchorId="515AB175" wp14:editId="7C5AF5DC">
            <wp:extent cx="3108960"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08798F09" w14:textId="77777777" w:rsidR="00D93BAE" w:rsidRDefault="00D93BAE" w:rsidP="00C566E3">
      <w:pPr>
        <w:rPr>
          <w:b/>
          <w:bCs/>
        </w:rPr>
      </w:pPr>
    </w:p>
    <w:p w14:paraId="1D4178EB" w14:textId="3C068AFB"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6D840C1B" w:rsidR="00C81685" w:rsidRPr="00C878B7" w:rsidRDefault="00C566E3" w:rsidP="00C566E3">
      <w:pPr>
        <w:rPr>
          <w:b/>
          <w:bCs/>
        </w:rPr>
      </w:pPr>
      <w:r w:rsidRPr="00C566E3">
        <w:rPr>
          <w:b/>
          <w:bCs/>
        </w:rPr>
        <w:t>oscillations in a network of CA3 cells</w:t>
      </w:r>
    </w:p>
    <w:p w14:paraId="25445227" w14:textId="028D8126" w:rsidR="00977360" w:rsidRPr="00C566E3" w:rsidRDefault="00DA6BF4" w:rsidP="00C566E3">
      <w:r>
        <w:rPr>
          <w:noProof/>
        </w:rPr>
        <mc:AlternateContent>
          <mc:Choice Requires="wps">
            <w:drawing>
              <wp:anchor distT="0" distB="0" distL="114300" distR="114300" simplePos="0" relativeHeight="251666432" behindDoc="0" locked="0" layoutInCell="1" allowOverlap="1" wp14:anchorId="616C1CF1" wp14:editId="218C647D">
                <wp:simplePos x="0" y="0"/>
                <wp:positionH relativeFrom="margin">
                  <wp:posOffset>3457575</wp:posOffset>
                </wp:positionH>
                <wp:positionV relativeFrom="paragraph">
                  <wp:posOffset>2828925</wp:posOffset>
                </wp:positionV>
                <wp:extent cx="310515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105150" cy="685165"/>
                        </a:xfrm>
                        <a:prstGeom prst="rect">
                          <a:avLst/>
                        </a:prstGeom>
                        <a:solidFill>
                          <a:prstClr val="white"/>
                        </a:solidFill>
                        <a:ln>
                          <a:noFill/>
                        </a:ln>
                      </wps:spPr>
                      <wps:txbx>
                        <w:txbxContent>
                          <w:p w14:paraId="24AC416C" w14:textId="2F238B08" w:rsidR="003B3C7B" w:rsidRPr="00CE0F85" w:rsidRDefault="003B3C7B" w:rsidP="003B3C7B">
                            <w:pPr>
                              <w:pStyle w:val="Caption"/>
                              <w:rPr>
                                <w:noProof/>
                              </w:rPr>
                            </w:pPr>
                            <w:r>
                              <w:t xml:space="preserve">Figure 4.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0" type="#_x0000_t202" style="position:absolute;margin-left:272.25pt;margin-top:222.75pt;width:244.5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" stroked="f">
                <v:textbox inset="0,0,0,0">
                  <w:txbxContent>
                    <w:p w14:paraId="24AC416C" w14:textId="2F238B08" w:rsidR="003B3C7B" w:rsidRPr="00CE0F85" w:rsidRDefault="003B3C7B" w:rsidP="003B3C7B">
                      <w:pPr>
                        <w:pStyle w:val="Caption"/>
                        <w:rPr>
                          <w:noProof/>
                        </w:rPr>
                      </w:pPr>
                      <w:r>
                        <w:t xml:space="preserve">Figure 4.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r w:rsidR="00FE17D1">
        <w:rPr>
          <w:noProof/>
        </w:rPr>
        <w:drawing>
          <wp:inline distT="0" distB="0" distL="0" distR="0" wp14:anchorId="69453E5B" wp14:editId="2308EEB5">
            <wp:extent cx="310896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826385"/>
                    </a:xfrm>
                    <a:prstGeom prst="rect">
                      <a:avLst/>
                    </a:prstGeom>
                    <a:noFill/>
                    <a:ln>
                      <a:noFill/>
                    </a:ln>
                  </pic:spPr>
                </pic:pic>
              </a:graphicData>
            </a:graphic>
          </wp:inline>
        </w:drawing>
      </w:r>
    </w:p>
    <w:p w14:paraId="15EEA8B9" w14:textId="0EC6FABB" w:rsidR="00C566E3" w:rsidRPr="00C566E3" w:rsidRDefault="00C566E3" w:rsidP="00C566E3"/>
    <w:p w14:paraId="2C036069" w14:textId="14A0D65F" w:rsidR="00C878B7" w:rsidRDefault="00C878B7" w:rsidP="00C566E3">
      <w:pPr>
        <w:rPr>
          <w:b/>
          <w:bCs/>
        </w:rPr>
      </w:pPr>
    </w:p>
    <w:p w14:paraId="7A5106A8" w14:textId="77777777" w:rsidR="00F23D37" w:rsidRDefault="00F23D37" w:rsidP="00977360"/>
    <w:p w14:paraId="760D115E" w14:textId="77777777" w:rsidR="00F23D37" w:rsidRDefault="00F23D37" w:rsidP="00977360"/>
    <w:p w14:paraId="7D9A4A4C" w14:textId="77777777" w:rsidR="00F23D37" w:rsidRDefault="00F23D37" w:rsidP="00977360"/>
    <w:p w14:paraId="7919D791" w14:textId="5F2D9C27" w:rsidR="00977360" w:rsidRDefault="00977360" w:rsidP="00977360">
      <w:r>
        <w:t xml:space="preserve">As an application of the segregation module proposed in our paper, we used a previously developed CA3 hippocampal network model to demonstrate the importance of </w:t>
      </w:r>
      <w:r w:rsidR="0065673F">
        <w:t xml:space="preserve">high initial </w:t>
      </w:r>
      <w:r w:rsidR="00DA6BF4">
        <w:t>burst in pyramidal cells</w:t>
      </w:r>
      <w:r>
        <w:t xml:space="preserve"> </w:t>
      </w:r>
      <w:r w:rsidR="00DA6BF4">
        <w:t>for</w:t>
      </w:r>
      <w:r>
        <w:t xml:space="preserve"> theta generation</w:t>
      </w:r>
      <w:r w:rsidR="00F23D37">
        <w:t xml:space="preserve"> </w:t>
      </w:r>
      <w:r w:rsidR="00F23D37">
        <w:fldChar w:fldCharType="begin"/>
      </w:r>
      <w:r w:rsidR="00F23D37">
        <w:instrText xml:space="preserve"> ADDIN EN.CITE &lt;EndNote&gt;&lt;Cite&gt;&lt;Author&gt;Hummos&lt;/Author&gt;&lt;Year&gt;2017&lt;/Year&gt;&lt;RecNum&gt;4829&lt;/RecNum&gt;&lt;DisplayText&gt;[9]&lt;/DisplayText&gt;&lt;record&gt;&lt;rec-number&gt;4829&lt;/rec-number&gt;&lt;foreign-keys&gt;&lt;key app="EN" db-id="wadfdsrz59rdaae9xsp59eaife9etwspvrz5" timestamp="1548018929"&gt;4829&lt;/key&gt;&lt;/foreign-keys&gt;&lt;ref-type name="Journal Article"&gt;17&lt;/ref-type&gt;&lt;contributors&gt;&lt;authors&gt;&lt;author&gt;Hummos, Ali&lt;/author&gt;&lt;author&gt;Nair, Satish S.&lt;/author&gt;&lt;/authors&gt;&lt;/contributors&gt;&lt;auth-address&gt;Department of Health Informatics, University of Missouri, Columbia, Missouri, United States of America.&amp;#xD;Department of Psychiatry, University of Missouri, Columbia, Missouri, United States of America.&amp;#xD;Department of Electrical &amp;amp; Computer Engineering, University of Missouri, Columbia, Missouri, United States of America.&lt;/auth-address&gt;&lt;titles&gt;&lt;title&gt;An integrative model of the intrinsic hippocampal theta rhythm&lt;/title&gt;&lt;secondary-title&gt;PLOS ONE&lt;/secondary-title&gt;&lt;/titles&gt;&lt;periodical&gt;&lt;full-title&gt;PloS One&lt;/full-title&gt;&lt;abbr-1&gt;PLoS One&lt;/abbr-1&gt;&lt;abbr-2&gt;PLoS One&lt;/abbr-2&gt;&lt;/periodical&gt;&lt;pages&gt;e0182648&lt;/pages&gt;&lt;volume&gt;12&lt;/volume&gt;&lt;number&gt;8&lt;/number&gt;&lt;keywords&gt;&lt;keyword&gt;Acetylcholine/metabolism&lt;/keyword&gt;&lt;keyword&gt;Hippocampus/cytology/*physiology&lt;/keyword&gt;&lt;keyword&gt;Interneurons/cytology/metabolism&lt;/keyword&gt;&lt;keyword&gt;*Models, Neurological&lt;/keyword&gt;&lt;keyword&gt;Poisson Distribution&lt;/keyword&gt;&lt;keyword&gt;*Theta Rhythm&lt;/keyword&gt;&lt;/keywords&gt;&lt;dates&gt;&lt;year&gt;2017&lt;/year&gt;&lt;/dates&gt;&lt;publisher&gt;Public Library of Science&lt;/publisher&gt;&lt;isbn&gt;1932-6203 (Electronic)&amp;#xD;1932-6203 (Linking)&lt;/isbn&gt;&lt;accession-num&gt;28787026&lt;/accession-num&gt;&lt;urls&gt;&lt;related-urls&gt;&lt;url&gt;https://doi.org/10.1371/journal.pone.0182648&lt;/url&gt;&lt;url&gt;https://www.ncbi.nlm.nih.gov/pmc/articles/PMC5546630/pdf/pone.0182648.pdf&lt;/url&gt;&lt;/related-urls&gt;&lt;/urls&gt;&lt;custom2&gt;PMC5546630&lt;/custom2&gt;&lt;electronic-resource-num&gt;10.1371/journal.pone.0182648&lt;/electronic-resource-num&gt;&lt;/record&gt;&lt;/Cite&gt;&lt;/EndNote&gt;</w:instrText>
      </w:r>
      <w:r w:rsidR="00F23D37">
        <w:fldChar w:fldCharType="separate"/>
      </w:r>
      <w:r w:rsidR="00F23D37">
        <w:rPr>
          <w:noProof/>
        </w:rPr>
        <w:t>[9]</w:t>
      </w:r>
      <w:r w:rsidR="00F23D37">
        <w:fldChar w:fldCharType="end"/>
      </w:r>
      <w:r>
        <w:t>. After substituting in our adapting CA3 pyramidal cell</w:t>
      </w:r>
      <w:r w:rsidR="00DA6BF4">
        <w:t xml:space="preserve"> </w:t>
      </w:r>
      <w:r w:rsidR="00DA6BF4">
        <w:lastRenderedPageBreak/>
        <w:t>(segregated)</w:t>
      </w:r>
      <w:r>
        <w:t xml:space="preserve">, we found that </w:t>
      </w:r>
      <w:r w:rsidR="00DA6BF4">
        <w:t>a</w:t>
      </w:r>
      <w:r>
        <w:t xml:space="preserve"> 15 Hz Poisson random spike train to the model Entorhinal Cortex produced a </w:t>
      </w:r>
      <w:r w:rsidR="00DA6BF4">
        <w:t>p</w:t>
      </w:r>
      <w:r>
        <w:t xml:space="preserve">ower spectral density value of 1.2 * </w:t>
      </w:r>
      <w:r>
        <w:rPr>
          <w:color w:val="000000"/>
        </w:rPr>
        <w:t>10</w:t>
      </w:r>
      <w:r>
        <w:rPr>
          <w:color w:val="000000"/>
          <w:vertAlign w:val="superscript"/>
        </w:rPr>
        <w:t>4</w:t>
      </w:r>
      <w:r>
        <w:t xml:space="preserve"> (</w:t>
      </w:r>
      <w:proofErr w:type="spellStart"/>
      <w:r>
        <w:t>spk</w:t>
      </w:r>
      <w:proofErr w:type="spellEnd"/>
      <w:r>
        <w:t>/sec)</w:t>
      </w:r>
      <w:r>
        <w:rPr>
          <w:color w:val="000000"/>
          <w:vertAlign w:val="superscript"/>
        </w:rPr>
        <w:t xml:space="preserve"> 2</w:t>
      </w:r>
      <w:r>
        <w:t>/Hz at a frequency of 5 Hz</w:t>
      </w:r>
      <w:r w:rsidR="00DA6BF4">
        <w:t xml:space="preserve"> (Fig. 4)</w:t>
      </w:r>
      <w:r>
        <w:t xml:space="preserve">. Conversely, when applying the same input </w:t>
      </w:r>
      <w:r w:rsidR="00DA6BF4">
        <w:t>with the</w:t>
      </w:r>
      <w:r>
        <w:t xml:space="preserve"> CA3 pyramidal cell</w:t>
      </w:r>
      <w:r w:rsidR="00DA6BF4">
        <w:t xml:space="preserve"> </w:t>
      </w:r>
      <w:r>
        <w:t>substituted with a tonic spiking cell of a matching FI curve</w:t>
      </w:r>
      <w:r w:rsidR="00DA6BF4">
        <w:t xml:space="preserve"> (non-segregated)</w:t>
      </w:r>
      <w:r>
        <w:t xml:space="preserve">, theta power </w:t>
      </w:r>
      <w:r w:rsidR="00DA6BF4">
        <w:t>diminished considerably</w:t>
      </w:r>
      <w:r>
        <w:t xml:space="preserve">. </w:t>
      </w:r>
      <w:r w:rsidR="00DA6BF4">
        <w:t>An insight/prediction of the model is that</w:t>
      </w:r>
      <w:r>
        <w:t xml:space="preserve"> interactions with surrounding GABAergic interneurons </w:t>
      </w:r>
      <w:r w:rsidR="00DA6BF4">
        <w:t>via</w:t>
      </w:r>
      <w:r>
        <w:t xml:space="preserve"> </w:t>
      </w:r>
      <w:r w:rsidR="00DA6BF4">
        <w:t>‘</w:t>
      </w:r>
      <w:proofErr w:type="spellStart"/>
      <w:r w:rsidR="00DA6BF4">
        <w:t>bursty</w:t>
      </w:r>
      <w:proofErr w:type="spellEnd"/>
      <w:r w:rsidR="00DA6BF4">
        <w:t>’</w:t>
      </w:r>
      <w:r>
        <w:t xml:space="preserve"> input from CA3 </w:t>
      </w:r>
      <w:r w:rsidR="00DA6BF4">
        <w:t xml:space="preserve">pyramidal </w:t>
      </w:r>
      <w:r>
        <w:t>cells produce</w:t>
      </w:r>
      <w:r w:rsidR="00DA6BF4">
        <w:t>s</w:t>
      </w:r>
      <w:r>
        <w:t xml:space="preserve"> theta power. </w:t>
      </w:r>
      <w:r w:rsidR="0065673F">
        <w:t>Alt</w:t>
      </w:r>
      <w:r>
        <w:t xml:space="preserve">hough the average frequency was matched when generating </w:t>
      </w:r>
      <w:r w:rsidR="00DA6BF4">
        <w:t>the two</w:t>
      </w:r>
      <w:r>
        <w:t xml:space="preserve"> cases, we were not able to replicate the initial high frequency </w:t>
      </w:r>
      <w:r w:rsidR="002A4DE4">
        <w:t>burst</w:t>
      </w:r>
      <w:r>
        <w:t xml:space="preserve"> </w:t>
      </w:r>
      <w:r w:rsidR="00DA6BF4">
        <w:t xml:space="preserve">without segregation. This suggests that the segregation technique may be critical for the design of cells </w:t>
      </w:r>
      <w:r w:rsidR="002A4DE4">
        <w:t>with characteristics such as high initial bursts</w:t>
      </w:r>
      <w:r w:rsidR="00DA6BF4">
        <w:t>.</w:t>
      </w:r>
    </w:p>
    <w:p w14:paraId="794CC19E" w14:textId="77777777" w:rsidR="00977360" w:rsidRDefault="00977360"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6A9E304A" w14:textId="6F21C13F" w:rsidR="00C2692F" w:rsidRDefault="00C566E3" w:rsidP="002A4DE4">
      <w:r w:rsidRPr="00C566E3">
        <w:t xml:space="preserve">As a first step in automating the segregation process using the Bayesian-based machine learning approach, we consider the CA3 cell with only the passive and spiking modules, i.e., the simple spiker case with only leak, H, Nat and </w:t>
      </w:r>
      <w:proofErr w:type="spellStart"/>
      <w:r w:rsidRPr="00C566E3">
        <w:t>Kdr</w:t>
      </w:r>
      <w:proofErr w:type="spellEnd"/>
      <w:r w:rsidRPr="00C566E3">
        <w:t xml:space="preserve">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xml:space="preserve">. Then we will attempt to infer the parameters of all the modules, i.e., passive, spiking and adapting </w:t>
      </w:r>
      <w:r w:rsidRPr="00F23D37">
        <w:t>modules simultaneously using an AI framework consisting of both analytical and simulation-based-inference (</w:t>
      </w:r>
      <w:proofErr w:type="spellStart"/>
      <w:r w:rsidRPr="00F23D37">
        <w:t>sbi</w:t>
      </w:r>
      <w:proofErr w:type="spellEnd"/>
      <w:r w:rsidRPr="00F23D37">
        <w:t>;</w:t>
      </w:r>
      <w:r w:rsidRPr="00F23D37">
        <w:fldChar w:fldCharType="begin"/>
      </w:r>
      <w:r w:rsidRPr="00F23D37">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F23D37">
        <w:fldChar w:fldCharType="separate"/>
      </w:r>
      <w:r w:rsidRPr="00F23D37">
        <w:rPr>
          <w:noProof/>
        </w:rPr>
        <w:t>[2]</w:t>
      </w:r>
      <w:r w:rsidRPr="00F23D37">
        <w:fldChar w:fldCharType="end"/>
      </w:r>
      <w:r w:rsidRPr="00F23D37">
        <w:t xml:space="preserve">) modules. </w:t>
      </w:r>
    </w:p>
    <w:p w14:paraId="51AF788C" w14:textId="0BF07079" w:rsidR="00C2692F" w:rsidRDefault="00C566E3">
      <w:pPr>
        <w:pStyle w:val="Heading1"/>
      </w:pPr>
      <w:r>
        <w:t>Discussion and Conclusion</w:t>
      </w:r>
    </w:p>
    <w:p w14:paraId="2F7B0BA9" w14:textId="2C79D229"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F23D37">
        <w:instrText xml:space="preserve"> ADDIN EN.CITE &lt;EndNote&gt;&lt;Cite&gt;&lt;Author&gt;Prinz&lt;/Author&gt;&lt;Year&gt;2004&lt;/Year&gt;&lt;RecNum&gt;5459&lt;/RecNum&gt;&lt;DisplayText&gt;[10]&lt;/DisplayText&gt;&lt;record&gt;&lt;rec-number&gt;5459&lt;/rec-number&gt;&lt;foreign-keys&gt;&lt;key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F23D37">
        <w:rPr>
          <w:noProof/>
        </w:rPr>
        <w:t>[10]</w:t>
      </w:r>
      <w:r w:rsidRPr="00C566E3">
        <w:fldChar w:fldCharType="end"/>
      </w:r>
      <w:r w:rsidRPr="00C566E3">
        <w:t xml:space="preserve">). Moreover, automated schemes such as genetic algorithm searches (e.g., </w:t>
      </w:r>
      <w:r w:rsidRPr="00C566E3">
        <w:fldChar w:fldCharType="begin"/>
      </w:r>
      <w:r w:rsidR="00F23D37">
        <w:instrText xml:space="preserve"> ADDIN EN.CITE &lt;EndNote&gt;&lt;Cite&gt;&lt;Author&gt;Achard&lt;/Author&gt;&lt;Year&gt;2006&lt;/Year&gt;&lt;RecNum&gt;245&lt;/RecNum&gt;&lt;DisplayText&gt;[11]&lt;/DisplayText&gt;&lt;record&gt;&lt;rec-number&gt;245&lt;/rec-number&gt;&lt;foreign-keys&gt;&lt;key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F23D37">
        <w:rPr>
          <w:noProof/>
        </w:rPr>
        <w:t>[11]</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0FB3A46A"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w:t>
      </w:r>
      <w:r w:rsidRPr="00C566E3">
        <w:t xml:space="preserve">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CaS-CaT-</w:t>
      </w:r>
      <w:r w:rsidR="0031792D">
        <w:t>sAHP</w:t>
      </w:r>
      <w:proofErr w:type="spellEnd"/>
      <w:r w:rsidRPr="00C566E3">
        <w:t xml:space="preserve"> module had additional degrees of freedom which made it possible to independently vary both burst duration and inter-burst </w:t>
      </w:r>
      <w:r w:rsidRPr="00F23D37">
        <w:t>interval.</w:t>
      </w:r>
      <w:r w:rsidR="00A20F15" w:rsidRPr="00F23D37">
        <w:t xml:space="preserve"> </w:t>
      </w:r>
      <w:proofErr w:type="gramStart"/>
      <w:r w:rsidR="00A20F15" w:rsidRPr="00F23D37">
        <w:t>That being said, the</w:t>
      </w:r>
      <w:proofErr w:type="gramEnd"/>
      <w:r w:rsidR="00A20F15" w:rsidRPr="00F23D37">
        <w:t xml:space="preserve"> Nap-KM module seems to allow for a faster burst spiking profile than what is possible with the </w:t>
      </w:r>
      <w:proofErr w:type="spellStart"/>
      <w:r w:rsidR="00A20F15" w:rsidRPr="00F23D37">
        <w:t>CaS-CaT-sAHP</w:t>
      </w:r>
      <w:proofErr w:type="spellEnd"/>
      <w:r w:rsidR="00A20F15" w:rsidRPr="00F23D37">
        <w:t xml:space="preserve"> module which may mean it is necessary in cells that display this characteristic.</w:t>
      </w:r>
    </w:p>
    <w:p w14:paraId="12F11FB9" w14:textId="77777777" w:rsidR="00C566E3" w:rsidRPr="00C566E3" w:rsidRDefault="00C566E3" w:rsidP="00C566E3">
      <w:pPr>
        <w:rPr>
          <w:u w:val="single"/>
        </w:rPr>
      </w:pPr>
    </w:p>
    <w:p w14:paraId="475AA7BE" w14:textId="77777777" w:rsidR="00C566E3" w:rsidRPr="00FE17D1" w:rsidRDefault="00C566E3" w:rsidP="00C566E3">
      <w:pPr>
        <w:rPr>
          <w:u w:val="single"/>
        </w:rPr>
      </w:pPr>
      <w:r w:rsidRPr="00FE17D1">
        <w:rPr>
          <w:u w:val="single"/>
        </w:rPr>
        <w:t>Automated pipeline for developing biophysical models of single neurons</w:t>
      </w:r>
    </w:p>
    <w:p w14:paraId="278A3D8F" w14:textId="60FCF86B" w:rsidR="0015028E" w:rsidRDefault="00C566E3" w:rsidP="00C566E3">
      <w:r w:rsidRPr="00C566E3">
        <w:t xml:space="preserve">The segregation method with its lack of interaction among the </w:t>
      </w:r>
      <w:r w:rsidRPr="00DA6BF4">
        <w:t>various current modules makes the tuning process more efficient and facilitates automation via the machine learning package. Automation of the simple spiking module was shown in the Results section. Ongoing work focuses on extending the process to</w:t>
      </w:r>
      <w:r w:rsidR="00C06C20" w:rsidRPr="00DA6BF4">
        <w:t xml:space="preserve"> include</w:t>
      </w:r>
      <w:r w:rsidRPr="00DA6BF4">
        <w:t xml:space="preserve"> the Nap</w:t>
      </w:r>
      <w:r w:rsidRPr="00C566E3">
        <w:t xml:space="preserve">-KM and </w:t>
      </w:r>
      <w:proofErr w:type="spellStart"/>
      <w:r w:rsidRPr="00C566E3">
        <w:t>CaS-CaT-</w:t>
      </w:r>
      <w:r w:rsidR="0031792D">
        <w:t>sAHP</w:t>
      </w:r>
      <w:proofErr w:type="spellEnd"/>
      <w:r w:rsidRPr="00C566E3">
        <w:t xml:space="preserve"> modules separately. The final goal is to automate the entire pipeline including passive, spiking, </w:t>
      </w:r>
      <w:proofErr w:type="gramStart"/>
      <w:r w:rsidRPr="00C566E3">
        <w:t>adapting</w:t>
      </w:r>
      <w:proofErr w:type="gramEnd"/>
      <w:r w:rsidRPr="00C566E3">
        <w:t xml:space="preserve"> and bursting modules. </w:t>
      </w:r>
      <w:r w:rsidR="001C4A08">
        <w:t>After completion, the</w:t>
      </w:r>
      <w:r w:rsidRPr="00C566E3">
        <w:t xml:space="preserve"> open-source package will be hosted for public download at our site cyneuro.org.</w:t>
      </w:r>
    </w:p>
    <w:p w14:paraId="1C7B2EB2" w14:textId="5E660244" w:rsidR="00C566E3" w:rsidRDefault="00C2692F" w:rsidP="002A4DE4">
      <w:pPr>
        <w:pStyle w:val="ReferenceHead"/>
      </w:pPr>
      <w:r>
        <w:t>References</w:t>
      </w:r>
    </w:p>
    <w:p w14:paraId="630DA895" w14:textId="77777777" w:rsidR="00F23D37" w:rsidRPr="00F23D37" w:rsidRDefault="00C566E3" w:rsidP="00F23D37">
      <w:pPr>
        <w:pStyle w:val="EndNoteBibliography"/>
        <w:ind w:left="360" w:hanging="360"/>
      </w:pPr>
      <w:r>
        <w:fldChar w:fldCharType="begin"/>
      </w:r>
      <w:r>
        <w:instrText xml:space="preserve"> ADDIN EN.REFLIST </w:instrText>
      </w:r>
      <w:r>
        <w:fldChar w:fldCharType="separate"/>
      </w:r>
      <w:r w:rsidR="00F23D37" w:rsidRPr="00F23D37">
        <w:rPr>
          <w:sz w:val="20"/>
        </w:rPr>
        <w:t>1</w:t>
      </w:r>
      <w:r w:rsidR="00F23D37" w:rsidRPr="00F23D37">
        <w:rPr>
          <w:rFonts w:ascii="Segoe UI" w:hAnsi="Segoe UI" w:cs="Segoe UI"/>
          <w:sz w:val="20"/>
        </w:rPr>
        <w:t>.</w:t>
      </w:r>
      <w:r w:rsidR="00F23D37" w:rsidRPr="00F23D37">
        <w:rPr>
          <w:rFonts w:ascii="Segoe UI" w:hAnsi="Segoe UI" w:cs="Segoe UI"/>
          <w:sz w:val="20"/>
        </w:rPr>
        <w:tab/>
      </w:r>
      <w:r w:rsidR="00F23D37" w:rsidRPr="00F23D37">
        <w:t>Alturki A, Feng F, Nair A, Guntu V, Nair SS (2016) Distinct current modules shape cellular dynamics in model neurons, Neuroscience</w:t>
      </w:r>
      <w:r w:rsidR="00F23D37" w:rsidRPr="00F23D37">
        <w:rPr>
          <w:i/>
        </w:rPr>
        <w:t xml:space="preserve"> </w:t>
      </w:r>
      <w:r w:rsidR="00F23D37" w:rsidRPr="00F23D37">
        <w:t>334, 309-331. PMC5086448.</w:t>
      </w:r>
    </w:p>
    <w:p w14:paraId="61BCB577" w14:textId="77777777" w:rsidR="00F23D37" w:rsidRPr="00F23D37" w:rsidRDefault="00F23D37" w:rsidP="00F23D37">
      <w:pPr>
        <w:pStyle w:val="EndNoteBibliography"/>
        <w:ind w:left="360" w:hanging="360"/>
      </w:pPr>
      <w:r w:rsidRPr="00F23D37">
        <w:rPr>
          <w:sz w:val="20"/>
        </w:rPr>
        <w:t>2</w:t>
      </w:r>
      <w:r w:rsidRPr="00F23D37">
        <w:rPr>
          <w:rFonts w:ascii="Segoe UI" w:hAnsi="Segoe UI" w:cs="Segoe UI"/>
          <w:sz w:val="20"/>
        </w:rPr>
        <w:t>.</w:t>
      </w:r>
      <w:r w:rsidRPr="00F23D37">
        <w:rPr>
          <w:rFonts w:ascii="Segoe UI" w:hAnsi="Segoe UI" w:cs="Segoe UI"/>
          <w:sz w:val="20"/>
        </w:rPr>
        <w:tab/>
      </w:r>
      <w:r w:rsidRPr="00F23D37">
        <w:t>Gonçalves PJ, Lueckmann J-M, Deistler M, Nonnenmacher M, Öcal K, Bassetto G, Chintaluri C, Podlaski WF, Haddad SA, Vogels TP, Greenberg DS, Macke JH (2020) Training deep neural density estimators to identify mechanistic models of neural dynamics, eLife</w:t>
      </w:r>
      <w:r w:rsidRPr="00F23D37">
        <w:rPr>
          <w:i/>
        </w:rPr>
        <w:t xml:space="preserve"> </w:t>
      </w:r>
      <w:r w:rsidRPr="00F23D37">
        <w:t xml:space="preserve">9, e56261. </w:t>
      </w:r>
    </w:p>
    <w:p w14:paraId="20896B38" w14:textId="77777777" w:rsidR="00F23D37" w:rsidRPr="00F23D37" w:rsidRDefault="00F23D37" w:rsidP="00F23D37">
      <w:pPr>
        <w:pStyle w:val="EndNoteBibliography"/>
        <w:ind w:left="360" w:hanging="360"/>
      </w:pPr>
      <w:r w:rsidRPr="00F23D37">
        <w:rPr>
          <w:sz w:val="20"/>
        </w:rPr>
        <w:t>3</w:t>
      </w:r>
      <w:r w:rsidRPr="00F23D37">
        <w:rPr>
          <w:rFonts w:ascii="Segoe UI" w:hAnsi="Segoe UI" w:cs="Segoe UI"/>
          <w:sz w:val="20"/>
        </w:rPr>
        <w:t>.</w:t>
      </w:r>
      <w:r w:rsidRPr="00F23D37">
        <w:rPr>
          <w:rFonts w:ascii="Segoe UI" w:hAnsi="Segoe UI" w:cs="Segoe UI"/>
          <w:sz w:val="20"/>
        </w:rPr>
        <w:tab/>
      </w:r>
      <w:r w:rsidRPr="00F23D37">
        <w:t>Carnevale N, Hines M (2006) The neuron book (UK: Cambridge University Press).</w:t>
      </w:r>
    </w:p>
    <w:p w14:paraId="03DBBB5E" w14:textId="77777777" w:rsidR="00F23D37" w:rsidRPr="00F23D37" w:rsidRDefault="00F23D37" w:rsidP="00F23D37">
      <w:pPr>
        <w:pStyle w:val="EndNoteBibliography"/>
        <w:ind w:left="360" w:hanging="360"/>
      </w:pPr>
      <w:r w:rsidRPr="00F23D37">
        <w:rPr>
          <w:sz w:val="20"/>
        </w:rPr>
        <w:t>4</w:t>
      </w:r>
      <w:r w:rsidRPr="00F23D37">
        <w:rPr>
          <w:rFonts w:ascii="Segoe UI" w:hAnsi="Segoe UI" w:cs="Segoe UI"/>
          <w:sz w:val="20"/>
        </w:rPr>
        <w:t>.</w:t>
      </w:r>
      <w:r w:rsidRPr="00F23D37">
        <w:rPr>
          <w:rFonts w:ascii="Segoe UI" w:hAnsi="Segoe UI" w:cs="Segoe UI"/>
          <w:sz w:val="20"/>
        </w:rPr>
        <w:tab/>
      </w:r>
      <w:r w:rsidRPr="00F23D37">
        <w:t>Byrne JH, Roberts JL, Waxham MN (2014) From molecules to networks: An introduction to cellular and molecular neuroscience, 3rd edn (Elsevier).</w:t>
      </w:r>
    </w:p>
    <w:p w14:paraId="064A0D83" w14:textId="77777777" w:rsidR="00F23D37" w:rsidRPr="00F23D37" w:rsidRDefault="00F23D37" w:rsidP="00F23D37">
      <w:pPr>
        <w:pStyle w:val="EndNoteBibliography"/>
        <w:ind w:left="360" w:hanging="360"/>
      </w:pPr>
      <w:r w:rsidRPr="00F23D37">
        <w:rPr>
          <w:sz w:val="20"/>
        </w:rPr>
        <w:t>5</w:t>
      </w:r>
      <w:r w:rsidRPr="00F23D37">
        <w:rPr>
          <w:rFonts w:ascii="Segoe UI" w:hAnsi="Segoe UI" w:cs="Segoe UI"/>
          <w:sz w:val="20"/>
        </w:rPr>
        <w:t>.</w:t>
      </w:r>
      <w:r w:rsidRPr="00F23D37">
        <w:rPr>
          <w:rFonts w:ascii="Segoe UI" w:hAnsi="Segoe UI" w:cs="Segoe UI"/>
          <w:sz w:val="20"/>
        </w:rPr>
        <w:tab/>
      </w:r>
      <w:r w:rsidRPr="00F23D37">
        <w:t>Izhikevich (2007) Dynamical systems in neuroscience the geometry of excitability and bursting In Computational neuroscience (Cambridge, Mass., MIT Press).</w:t>
      </w:r>
    </w:p>
    <w:p w14:paraId="28118F2B" w14:textId="77777777" w:rsidR="00F23D37" w:rsidRPr="00F23D37" w:rsidRDefault="00F23D37" w:rsidP="00F23D37">
      <w:pPr>
        <w:pStyle w:val="EndNoteBibliography"/>
        <w:ind w:left="360" w:hanging="360"/>
      </w:pPr>
      <w:r w:rsidRPr="00F23D37">
        <w:rPr>
          <w:sz w:val="20"/>
        </w:rPr>
        <w:t>6</w:t>
      </w:r>
      <w:r w:rsidRPr="00F23D37">
        <w:rPr>
          <w:rFonts w:ascii="Segoe UI" w:hAnsi="Segoe UI" w:cs="Segoe UI"/>
          <w:sz w:val="20"/>
        </w:rPr>
        <w:t>.</w:t>
      </w:r>
      <w:r w:rsidRPr="00F23D37">
        <w:rPr>
          <w:rFonts w:ascii="Segoe UI" w:hAnsi="Segoe UI" w:cs="Segoe UI"/>
          <w:sz w:val="20"/>
        </w:rPr>
        <w:tab/>
      </w:r>
      <w:r w:rsidRPr="00F23D37">
        <w:t>Sun Q, Sotayo A, Cazzulino AS, Snyder AM, Denny CA, Siegelbaum SA (2017) Proximodistal heterogeneity of hippocampal CA3 pyramidal neuron intrinsic properties, connectivity, and reactivation during memory recall, Neuron</w:t>
      </w:r>
      <w:r w:rsidRPr="00F23D37">
        <w:rPr>
          <w:i/>
        </w:rPr>
        <w:t xml:space="preserve"> </w:t>
      </w:r>
      <w:r w:rsidRPr="00F23D37">
        <w:t xml:space="preserve">95, 656-672.e653. </w:t>
      </w:r>
    </w:p>
    <w:p w14:paraId="691563C4" w14:textId="77777777" w:rsidR="00F23D37" w:rsidRPr="00F23D37" w:rsidRDefault="00F23D37" w:rsidP="00F23D37">
      <w:pPr>
        <w:pStyle w:val="EndNoteBibliography"/>
        <w:ind w:left="360" w:hanging="360"/>
      </w:pPr>
      <w:r w:rsidRPr="00F23D37">
        <w:rPr>
          <w:sz w:val="20"/>
        </w:rPr>
        <w:t>7</w:t>
      </w:r>
      <w:r w:rsidRPr="00F23D37">
        <w:rPr>
          <w:rFonts w:ascii="Segoe UI" w:hAnsi="Segoe UI" w:cs="Segoe UI"/>
          <w:sz w:val="20"/>
        </w:rPr>
        <w:t>.</w:t>
      </w:r>
      <w:r w:rsidRPr="00F23D37">
        <w:rPr>
          <w:rFonts w:ascii="Segoe UI" w:hAnsi="Segoe UI" w:cs="Segoe UI"/>
          <w:sz w:val="20"/>
        </w:rPr>
        <w:tab/>
      </w:r>
      <w:r w:rsidRPr="00F23D37">
        <w:t>Staff NP, Jung H-Y, Thiagarajan T, Yao M, Spruston N (2000) Resting and active properties of pyramidal neurons in subiculum and ca1 of rat hippocampus, J Neurophysiol</w:t>
      </w:r>
      <w:r w:rsidRPr="00F23D37">
        <w:rPr>
          <w:i/>
        </w:rPr>
        <w:t xml:space="preserve"> </w:t>
      </w:r>
      <w:r w:rsidRPr="00F23D37">
        <w:t xml:space="preserve">84, 2398-2408. </w:t>
      </w:r>
    </w:p>
    <w:p w14:paraId="0D78A5CB" w14:textId="77777777" w:rsidR="00F23D37" w:rsidRPr="00F23D37" w:rsidRDefault="00F23D37" w:rsidP="00F23D37">
      <w:pPr>
        <w:pStyle w:val="EndNoteBibliography"/>
        <w:ind w:left="360" w:hanging="360"/>
      </w:pPr>
      <w:r w:rsidRPr="00F23D37">
        <w:rPr>
          <w:sz w:val="20"/>
        </w:rPr>
        <w:t>8</w:t>
      </w:r>
      <w:r w:rsidRPr="00F23D37">
        <w:rPr>
          <w:rFonts w:ascii="Segoe UI" w:hAnsi="Segoe UI" w:cs="Segoe UI"/>
          <w:sz w:val="20"/>
        </w:rPr>
        <w:t>.</w:t>
      </w:r>
      <w:r w:rsidRPr="00F23D37">
        <w:rPr>
          <w:rFonts w:ascii="Segoe UI" w:hAnsi="Segoe UI" w:cs="Segoe UI"/>
          <w:sz w:val="20"/>
        </w:rPr>
        <w:tab/>
      </w:r>
      <w:r w:rsidRPr="00F23D37">
        <w:t>Hummos A, Franklin Charles C, Nair Satish S (2014) Intrinsic mechanisms stabilize encoding and retrieval circuits differentially in a hippocampal network model, Hippocampus</w:t>
      </w:r>
      <w:r w:rsidRPr="00F23D37">
        <w:rPr>
          <w:i/>
        </w:rPr>
        <w:t xml:space="preserve"> </w:t>
      </w:r>
      <w:r w:rsidRPr="00F23D37">
        <w:t>24, 1430-1448. PMC24978936.</w:t>
      </w:r>
    </w:p>
    <w:p w14:paraId="2543AEDF" w14:textId="77777777" w:rsidR="00F23D37" w:rsidRPr="00F23D37" w:rsidRDefault="00F23D37" w:rsidP="00F23D37">
      <w:pPr>
        <w:pStyle w:val="EndNoteBibliography"/>
        <w:ind w:left="360" w:hanging="360"/>
      </w:pPr>
      <w:r w:rsidRPr="00F23D37">
        <w:rPr>
          <w:sz w:val="20"/>
        </w:rPr>
        <w:t>9</w:t>
      </w:r>
      <w:r w:rsidRPr="00F23D37">
        <w:rPr>
          <w:rFonts w:ascii="Segoe UI" w:hAnsi="Segoe UI" w:cs="Segoe UI"/>
          <w:sz w:val="20"/>
        </w:rPr>
        <w:t>.</w:t>
      </w:r>
      <w:r w:rsidRPr="00F23D37">
        <w:rPr>
          <w:rFonts w:ascii="Segoe UI" w:hAnsi="Segoe UI" w:cs="Segoe UI"/>
          <w:sz w:val="20"/>
        </w:rPr>
        <w:tab/>
      </w:r>
      <w:r w:rsidRPr="00F23D37">
        <w:t>Hummos A, Nair SS (2017) An integrative model of the intrinsic hippocampal theta rhythm, PLoS One</w:t>
      </w:r>
      <w:r w:rsidRPr="00F23D37">
        <w:rPr>
          <w:i/>
        </w:rPr>
        <w:t xml:space="preserve"> </w:t>
      </w:r>
      <w:r w:rsidRPr="00F23D37">
        <w:t>12, e0182648. PMC5546630.</w:t>
      </w:r>
    </w:p>
    <w:p w14:paraId="629CE6A9" w14:textId="77777777" w:rsidR="00F23D37" w:rsidRPr="00F23D37" w:rsidRDefault="00F23D37" w:rsidP="00F23D37">
      <w:pPr>
        <w:pStyle w:val="EndNoteBibliography"/>
        <w:ind w:left="360" w:hanging="360"/>
      </w:pPr>
      <w:r w:rsidRPr="00F23D37">
        <w:rPr>
          <w:sz w:val="20"/>
        </w:rPr>
        <w:t>10</w:t>
      </w:r>
      <w:r w:rsidRPr="00F23D37">
        <w:rPr>
          <w:rFonts w:ascii="Segoe UI" w:hAnsi="Segoe UI" w:cs="Segoe UI"/>
          <w:sz w:val="20"/>
        </w:rPr>
        <w:t>.</w:t>
      </w:r>
      <w:r w:rsidRPr="00F23D37">
        <w:rPr>
          <w:rFonts w:ascii="Segoe UI" w:hAnsi="Segoe UI" w:cs="Segoe UI"/>
          <w:sz w:val="20"/>
        </w:rPr>
        <w:tab/>
      </w:r>
      <w:r w:rsidRPr="00F23D37">
        <w:t>Prinz AA, Bucher D, Marder E (2004) Similar network activity from disparate circuit parameters, Nat Neurosci</w:t>
      </w:r>
      <w:r w:rsidRPr="00F23D37">
        <w:rPr>
          <w:i/>
        </w:rPr>
        <w:t xml:space="preserve"> </w:t>
      </w:r>
      <w:r w:rsidRPr="00F23D37">
        <w:t xml:space="preserve">7, 1345-1352. </w:t>
      </w:r>
    </w:p>
    <w:p w14:paraId="1AE384C8" w14:textId="77777777" w:rsidR="00F23D37" w:rsidRPr="00F23D37" w:rsidRDefault="00F23D37" w:rsidP="00F23D37">
      <w:pPr>
        <w:pStyle w:val="EndNoteBibliography"/>
        <w:ind w:left="360" w:hanging="360"/>
      </w:pPr>
      <w:r w:rsidRPr="00F23D37">
        <w:rPr>
          <w:sz w:val="20"/>
        </w:rPr>
        <w:t>11</w:t>
      </w:r>
      <w:r w:rsidRPr="00F23D37">
        <w:rPr>
          <w:rFonts w:ascii="Segoe UI" w:hAnsi="Segoe UI" w:cs="Segoe UI"/>
          <w:sz w:val="20"/>
        </w:rPr>
        <w:t>.</w:t>
      </w:r>
      <w:r w:rsidRPr="00F23D37">
        <w:rPr>
          <w:rFonts w:ascii="Segoe UI" w:hAnsi="Segoe UI" w:cs="Segoe UI"/>
          <w:sz w:val="20"/>
        </w:rPr>
        <w:tab/>
      </w:r>
      <w:r w:rsidRPr="00F23D37">
        <w:t>Achard P, De Schutter E (2006) Complex parameter landscape for a complex neuron model, PLoS Comput Biol</w:t>
      </w:r>
      <w:r w:rsidRPr="00F23D37">
        <w:rPr>
          <w:i/>
        </w:rPr>
        <w:t xml:space="preserve"> </w:t>
      </w:r>
      <w:r w:rsidRPr="00F23D37">
        <w:t xml:space="preserve">2, e94. </w:t>
      </w:r>
    </w:p>
    <w:p w14:paraId="611BA4DD" w14:textId="608ADA0A" w:rsidR="00C2692F" w:rsidRPr="007A28F1" w:rsidRDefault="00C566E3" w:rsidP="00C2692F">
      <w:pPr>
        <w:pStyle w:val="References"/>
        <w:numPr>
          <w:ilvl w:val="0"/>
          <w:numId w:val="0"/>
        </w:numPr>
      </w:pPr>
      <w:r>
        <w:fldChar w:fldCharType="end"/>
      </w:r>
    </w:p>
    <w:sectPr w:rsidR="00C2692F" w:rsidRPr="007A28F1" w:rsidSect="0015028E">
      <w:headerReference w:type="default" r:id="rId13"/>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2759C" w14:textId="77777777" w:rsidR="00AF0AFC" w:rsidRDefault="00AF0AFC">
      <w:r>
        <w:separator/>
      </w:r>
    </w:p>
  </w:endnote>
  <w:endnote w:type="continuationSeparator" w:id="0">
    <w:p w14:paraId="5848E8EE" w14:textId="77777777" w:rsidR="00AF0AFC" w:rsidRDefault="00AF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66E85" w14:textId="77777777" w:rsidR="00AF0AFC" w:rsidRDefault="00AF0AFC"/>
  </w:footnote>
  <w:footnote w:type="continuationSeparator" w:id="0">
    <w:p w14:paraId="5CC8BE59" w14:textId="77777777" w:rsidR="00AF0AFC" w:rsidRDefault="00AF0AFC">
      <w:r>
        <w:continuationSeparator/>
      </w:r>
    </w:p>
  </w:footnote>
  <w:footnote w:id="1">
    <w:p w14:paraId="662B1F59" w14:textId="012ADA48" w:rsidR="00FE17D1" w:rsidRPr="00F23D37" w:rsidRDefault="00FE17D1" w:rsidP="00F23D37">
      <w:pPr>
        <w:pStyle w:val="FootnoteText"/>
        <w:rPr>
          <w:color w:val="000000"/>
        </w:rPr>
      </w:pPr>
      <w:r w:rsidRPr="00F23D37">
        <w:rPr>
          <w:color w:val="000000"/>
        </w:rPr>
        <w:t>This research was supported in part by This research was supported in part by grants NIH MH122023 and NSF OAC-1730655 to SSN.</w:t>
      </w:r>
    </w:p>
    <w:p w14:paraId="563B7107" w14:textId="416BF88D" w:rsidR="00FE17D1" w:rsidRPr="00F23D37" w:rsidRDefault="00FE17D1" w:rsidP="00FE17D1">
      <w:pPr>
        <w:pStyle w:val="FootnoteText"/>
        <w:rPr>
          <w:color w:val="000000"/>
        </w:rPr>
      </w:pPr>
      <w:r w:rsidRPr="00F23D37">
        <w:t>*</w:t>
      </w:r>
      <w:r w:rsidRPr="00F23D37">
        <w:rPr>
          <w:color w:val="000000"/>
        </w:rPr>
        <w:t xml:space="preserve">N Opsal, P Canfield, T Banks and SS Nair are with Electrical Engineering and Computer Science, University of Missouri, Columbia MO 65211 (corresponding author SSN phone: 573-882-2964; fax: 573-882-0397; e-mail: </w:t>
      </w:r>
      <w:hyperlink r:id="rId1" w:history="1">
        <w:r w:rsidRPr="00F23D37">
          <w:rPr>
            <w:rStyle w:val="Hyperlink"/>
          </w:rPr>
          <w:t>nairs@missouri.edu</w:t>
        </w:r>
      </w:hyperlink>
      <w:r w:rsidRPr="00F23D37">
        <w:rPr>
          <w:color w:val="000000"/>
        </w:rPr>
        <w:t xml:space="preserve">). </w:t>
      </w:r>
    </w:p>
    <w:p w14:paraId="164967BD" w14:textId="2B1ADE2D" w:rsidR="00C2692F" w:rsidRPr="00F23D37"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649&lt;/item&gt;&lt;item&gt;694&lt;/item&gt;&lt;item&gt;4829&lt;/item&gt;&lt;item&gt;4962&lt;/item&gt;&lt;item&gt;5459&lt;/item&gt;&lt;item&gt;5463&lt;/item&gt;&lt;item&gt;5475&lt;/item&gt;&lt;item&gt;5478&lt;/item&gt;&lt;/record-ids&gt;&lt;/item&gt;&lt;/Libraries&gt;"/>
  </w:docVars>
  <w:rsids>
    <w:rsidRoot w:val="001A13E6"/>
    <w:rsid w:val="0015028E"/>
    <w:rsid w:val="00172562"/>
    <w:rsid w:val="001A13E6"/>
    <w:rsid w:val="001B32F0"/>
    <w:rsid w:val="001C433D"/>
    <w:rsid w:val="001C4A08"/>
    <w:rsid w:val="00211AAF"/>
    <w:rsid w:val="00267926"/>
    <w:rsid w:val="00292AD5"/>
    <w:rsid w:val="002A4DE4"/>
    <w:rsid w:val="0031792D"/>
    <w:rsid w:val="00355EDE"/>
    <w:rsid w:val="00386408"/>
    <w:rsid w:val="003A2DC9"/>
    <w:rsid w:val="003B3C7B"/>
    <w:rsid w:val="003C7107"/>
    <w:rsid w:val="003E680F"/>
    <w:rsid w:val="00415382"/>
    <w:rsid w:val="0044077C"/>
    <w:rsid w:val="00462339"/>
    <w:rsid w:val="004929F3"/>
    <w:rsid w:val="00571837"/>
    <w:rsid w:val="00582132"/>
    <w:rsid w:val="005B476A"/>
    <w:rsid w:val="005D7E63"/>
    <w:rsid w:val="00621549"/>
    <w:rsid w:val="0065673F"/>
    <w:rsid w:val="006978BD"/>
    <w:rsid w:val="006D5709"/>
    <w:rsid w:val="006F5250"/>
    <w:rsid w:val="0072303E"/>
    <w:rsid w:val="0072734B"/>
    <w:rsid w:val="007E061C"/>
    <w:rsid w:val="007E755A"/>
    <w:rsid w:val="007F61BC"/>
    <w:rsid w:val="00977360"/>
    <w:rsid w:val="009A5EF1"/>
    <w:rsid w:val="009B6641"/>
    <w:rsid w:val="009C288F"/>
    <w:rsid w:val="00A20F15"/>
    <w:rsid w:val="00A315B5"/>
    <w:rsid w:val="00A407F4"/>
    <w:rsid w:val="00AB5530"/>
    <w:rsid w:val="00AB657F"/>
    <w:rsid w:val="00AC2754"/>
    <w:rsid w:val="00AE3293"/>
    <w:rsid w:val="00AF0AFC"/>
    <w:rsid w:val="00B16185"/>
    <w:rsid w:val="00B77181"/>
    <w:rsid w:val="00B93344"/>
    <w:rsid w:val="00BC4269"/>
    <w:rsid w:val="00C06C20"/>
    <w:rsid w:val="00C230E0"/>
    <w:rsid w:val="00C2692F"/>
    <w:rsid w:val="00C566E3"/>
    <w:rsid w:val="00C81685"/>
    <w:rsid w:val="00C878B7"/>
    <w:rsid w:val="00CB0F7E"/>
    <w:rsid w:val="00CF0931"/>
    <w:rsid w:val="00D01553"/>
    <w:rsid w:val="00D174DB"/>
    <w:rsid w:val="00D354B4"/>
    <w:rsid w:val="00D93B3F"/>
    <w:rsid w:val="00D93BAE"/>
    <w:rsid w:val="00DA6BF4"/>
    <w:rsid w:val="00DC10A0"/>
    <w:rsid w:val="00DD0A45"/>
    <w:rsid w:val="00E16811"/>
    <w:rsid w:val="00E71F51"/>
    <w:rsid w:val="00E76E91"/>
    <w:rsid w:val="00E94C00"/>
    <w:rsid w:val="00EE7A12"/>
    <w:rsid w:val="00F23D37"/>
    <w:rsid w:val="00F365D0"/>
    <w:rsid w:val="00F5760C"/>
    <w:rsid w:val="00FB46DE"/>
    <w:rsid w:val="00FE17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 w:type="paragraph" w:styleId="NormalWeb">
    <w:name w:val="Normal (Web)"/>
    <w:basedOn w:val="Normal"/>
    <w:uiPriority w:val="99"/>
    <w:unhideWhenUsed/>
    <w:rsid w:val="006978BD"/>
    <w:pPr>
      <w:autoSpaceDE/>
      <w:autoSpaceDN/>
    </w:pPr>
    <w:rPr>
      <w:rFonts w:ascii="Calibri" w:eastAsiaTheme="minorHAnsi" w:hAnsi="Calibri" w:cs="Calibri"/>
      <w:sz w:val="22"/>
      <w:szCs w:val="22"/>
    </w:rPr>
  </w:style>
  <w:style w:type="character" w:customStyle="1" w:styleId="FootnoteTextChar">
    <w:name w:val="Footnote Text Char"/>
    <w:basedOn w:val="DefaultParagraphFont"/>
    <w:link w:val="FootnoteText"/>
    <w:uiPriority w:val="99"/>
    <w:semiHidden/>
    <w:rsid w:val="00FE17D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40539">
      <w:bodyDiv w:val="1"/>
      <w:marLeft w:val="0"/>
      <w:marRight w:val="0"/>
      <w:marTop w:val="0"/>
      <w:marBottom w:val="0"/>
      <w:divBdr>
        <w:top w:val="none" w:sz="0" w:space="0" w:color="auto"/>
        <w:left w:val="none" w:sz="0" w:space="0" w:color="auto"/>
        <w:bottom w:val="none" w:sz="0" w:space="0" w:color="auto"/>
        <w:right w:val="none" w:sz="0" w:space="0" w:color="auto"/>
      </w:divBdr>
    </w:div>
    <w:div w:id="780952364">
      <w:bodyDiv w:val="1"/>
      <w:marLeft w:val="0"/>
      <w:marRight w:val="0"/>
      <w:marTop w:val="0"/>
      <w:marBottom w:val="0"/>
      <w:divBdr>
        <w:top w:val="none" w:sz="0" w:space="0" w:color="auto"/>
        <w:left w:val="none" w:sz="0" w:space="0" w:color="auto"/>
        <w:bottom w:val="none" w:sz="0" w:space="0" w:color="auto"/>
        <w:right w:val="none" w:sz="0" w:space="0" w:color="auto"/>
      </w:divBdr>
    </w:div>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841">
      <w:bodyDiv w:val="1"/>
      <w:marLeft w:val="0"/>
      <w:marRight w:val="0"/>
      <w:marTop w:val="0"/>
      <w:marBottom w:val="0"/>
      <w:divBdr>
        <w:top w:val="none" w:sz="0" w:space="0" w:color="auto"/>
        <w:left w:val="none" w:sz="0" w:space="0" w:color="auto"/>
        <w:bottom w:val="none" w:sz="0" w:space="0" w:color="auto"/>
        <w:right w:val="none" w:sz="0" w:space="0" w:color="auto"/>
      </w:divBdr>
    </w:div>
    <w:div w:id="18429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nairs@missouri.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CB71A-79BF-4BDB-AE55-5E7E071E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4</TotalTime>
  <Pages>4</Pages>
  <Words>5043</Words>
  <Characters>28749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Nathaniel Opsal</cp:lastModifiedBy>
  <cp:revision>2</cp:revision>
  <cp:lastPrinted>2012-01-31T04:17:00Z</cp:lastPrinted>
  <dcterms:created xsi:type="dcterms:W3CDTF">2020-12-22T06:32:00Z</dcterms:created>
  <dcterms:modified xsi:type="dcterms:W3CDTF">2020-12-22T06:32:00Z</dcterms:modified>
</cp:coreProperties>
</file>