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3F1B1" w14:textId="25E4B985" w:rsidR="00D44A5F" w:rsidRPr="00190927" w:rsidRDefault="00D44A5F" w:rsidP="00190927">
      <w:pPr>
        <w:spacing w:after="0"/>
        <w:rPr>
          <w:bCs/>
        </w:rPr>
      </w:pPr>
      <w:r w:rsidRPr="00190927">
        <w:rPr>
          <w:b/>
        </w:rPr>
        <w:t>Name</w:t>
      </w:r>
      <w:r w:rsidRPr="00190927">
        <w:rPr>
          <w:bCs/>
        </w:rPr>
        <w:t xml:space="preserve">: </w:t>
      </w:r>
      <w:r w:rsidR="0042451C">
        <w:t>Basket Cell</w:t>
      </w:r>
      <w:r w:rsidR="00BE354A">
        <w:rPr>
          <w:bCs/>
        </w:rPr>
        <w:t xml:space="preserve"> (</w:t>
      </w:r>
      <w:r w:rsidR="0042451C">
        <w:rPr>
          <w:bCs/>
        </w:rPr>
        <w:t>BC</w:t>
      </w:r>
      <w:r w:rsidR="00190927" w:rsidRPr="00190927">
        <w:rPr>
          <w:bCs/>
        </w:rPr>
        <w:t>)</w:t>
      </w:r>
      <w:r w:rsidRPr="00190927">
        <w:rPr>
          <w:bCs/>
        </w:rPr>
        <w:t xml:space="preserve"> </w:t>
      </w:r>
      <w:r w:rsidR="0042451C">
        <w:t>(Buhl et al., 1996)</w:t>
      </w:r>
      <w:r w:rsidR="00B3330A" w:rsidRPr="00190927">
        <w:rPr>
          <w:bCs/>
        </w:rPr>
        <w:t xml:space="preserve"> – Hippocampal </w:t>
      </w:r>
      <w:r w:rsidR="00BE354A">
        <w:rPr>
          <w:bCs/>
        </w:rPr>
        <w:t xml:space="preserve">CA3 Interneuron </w:t>
      </w:r>
    </w:p>
    <w:p w14:paraId="62812848" w14:textId="77777777" w:rsidR="009E7C13" w:rsidRPr="009E7C13" w:rsidRDefault="009E7C13" w:rsidP="00190927">
      <w:pPr>
        <w:spacing w:after="0"/>
        <w:rPr>
          <w:b/>
          <w:u w:val="single"/>
        </w:rPr>
      </w:pPr>
      <w:r w:rsidRPr="009E7C13">
        <w:rPr>
          <w:b/>
          <w:u w:val="single"/>
        </w:rPr>
        <w:t>Biological Data</w:t>
      </w:r>
    </w:p>
    <w:p w14:paraId="25B7E965" w14:textId="1B8195B2" w:rsidR="00BE5A8A" w:rsidRDefault="00190927" w:rsidP="00BE5A8A">
      <w:pPr>
        <w:spacing w:after="0"/>
      </w:pPr>
      <w:r w:rsidRPr="009E7C13">
        <w:rPr>
          <w:b/>
        </w:rPr>
        <w:t>Passive properties</w:t>
      </w:r>
      <w:r>
        <w:rPr>
          <w:bCs/>
        </w:rPr>
        <w:t xml:space="preserve">: </w:t>
      </w:r>
      <w:proofErr w:type="spellStart"/>
      <w:r>
        <w:rPr>
          <w:bCs/>
        </w:rPr>
        <w:t>Vrest</w:t>
      </w:r>
      <w:proofErr w:type="spellEnd"/>
      <w:r>
        <w:rPr>
          <w:bCs/>
        </w:rPr>
        <w:t xml:space="preserve"> =</w:t>
      </w:r>
      <w:r w:rsidR="00BE354A">
        <w:rPr>
          <w:bCs/>
        </w:rPr>
        <w:t xml:space="preserve"> -</w:t>
      </w:r>
      <w:r w:rsidR="0042451C">
        <w:rPr>
          <w:bCs/>
        </w:rPr>
        <w:t xml:space="preserve">64.2 </w:t>
      </w:r>
      <w:r w:rsidR="0042451C">
        <w:t>±</w:t>
      </w:r>
      <w:r w:rsidR="0042451C">
        <w:rPr>
          <w:bCs/>
        </w:rPr>
        <w:t xml:space="preserve"> </w:t>
      </w:r>
      <w:r w:rsidR="00BE5A8A">
        <w:rPr>
          <w:bCs/>
        </w:rPr>
        <w:t>7.2</w:t>
      </w:r>
      <w:r w:rsidR="00BE354A">
        <w:rPr>
          <w:bCs/>
        </w:rPr>
        <w:t>mV</w:t>
      </w:r>
      <w:r>
        <w:rPr>
          <w:bCs/>
        </w:rPr>
        <w:t xml:space="preserve">    Tau = </w:t>
      </w:r>
      <w:r w:rsidR="00BE5A8A">
        <w:t>9.8</w:t>
      </w:r>
      <w:r w:rsidR="00BE354A">
        <w:t xml:space="preserve"> ± </w:t>
      </w:r>
      <w:r w:rsidR="00BE5A8A">
        <w:t>4.5</w:t>
      </w:r>
      <w:r w:rsidR="00BE354A">
        <w:t xml:space="preserve"> ms </w:t>
      </w:r>
      <w:r>
        <w:rPr>
          <w:bCs/>
        </w:rPr>
        <w:t xml:space="preserve">Rin = </w:t>
      </w:r>
      <w:r w:rsidR="00BE5A8A">
        <w:t>31.3</w:t>
      </w:r>
      <w:r w:rsidR="00BE354A">
        <w:t xml:space="preserve"> ± </w:t>
      </w:r>
      <w:r w:rsidR="00BE5A8A">
        <w:t>10.9</w:t>
      </w:r>
      <w:r w:rsidR="00BE354A">
        <w:t xml:space="preserve"> M</w:t>
      </w:r>
      <w:r w:rsidR="00BE354A">
        <w:rPr>
          <w:rFonts w:cstheme="minorHAnsi"/>
        </w:rPr>
        <w:t>Ω</w:t>
      </w:r>
      <w:r w:rsidR="00BE354A" w:rsidRPr="00190927">
        <w:rPr>
          <w:bCs/>
        </w:rPr>
        <w:t xml:space="preserve"> </w:t>
      </w:r>
      <w:r w:rsidR="00BE5A8A">
        <w:t>(Buhl et al., 1996)</w:t>
      </w:r>
    </w:p>
    <w:p w14:paraId="55BF27B0" w14:textId="5CEA5B28" w:rsidR="00EA2AF8" w:rsidRPr="00EA2AF8" w:rsidRDefault="00EA2AF8" w:rsidP="00BE5A8A">
      <w:pPr>
        <w:spacing w:after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</w:t>
      </w:r>
    </w:p>
    <w:p w14:paraId="55C14285" w14:textId="7C50F9EB" w:rsidR="00EF05ED" w:rsidRPr="00A66C15" w:rsidRDefault="007A6DBD" w:rsidP="00EF05ED">
      <w:pPr>
        <w:rPr>
          <w:b/>
        </w:rPr>
      </w:pPr>
      <w:r>
        <w:rPr>
          <w:b/>
        </w:rPr>
        <w:t>P</w:t>
      </w:r>
      <w:r w:rsidR="00B3330A">
        <w:rPr>
          <w:b/>
        </w:rPr>
        <w:t xml:space="preserve">assive properties of model </w:t>
      </w:r>
      <w:r w:rsidR="00BE354A">
        <w:rPr>
          <w:b/>
        </w:rPr>
        <w:t>OLM Inter</w:t>
      </w:r>
      <w:r w:rsidR="00B3330A">
        <w:rPr>
          <w:b/>
        </w:rPr>
        <w:t xml:space="preserve">neuron: </w:t>
      </w:r>
    </w:p>
    <w:tbl>
      <w:tblPr>
        <w:tblStyle w:val="TableGrid"/>
        <w:tblW w:w="10877" w:type="dxa"/>
        <w:tblLook w:val="04A0" w:firstRow="1" w:lastRow="0" w:firstColumn="1" w:lastColumn="0" w:noHBand="0" w:noVBand="1"/>
      </w:tblPr>
      <w:tblGrid>
        <w:gridCol w:w="10877"/>
      </w:tblGrid>
      <w:tr w:rsidR="00463F3E" w14:paraId="1B013163" w14:textId="77777777" w:rsidTr="00FD3F90">
        <w:trPr>
          <w:trHeight w:val="3883"/>
        </w:trPr>
        <w:tc>
          <w:tcPr>
            <w:tcW w:w="10877" w:type="dxa"/>
          </w:tcPr>
          <w:p w14:paraId="5688517F" w14:textId="2A5114B2" w:rsidR="00463F3E" w:rsidRDefault="00463F3E" w:rsidP="00BE354A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proofErr w:type="spellStart"/>
            <w:r>
              <w:rPr>
                <w:b/>
              </w:rPr>
              <w:t>V_rest</w:t>
            </w:r>
            <w:proofErr w:type="spellEnd"/>
            <w:r>
              <w:rPr>
                <w:b/>
              </w:rPr>
              <w:t xml:space="preserve"> = -</w:t>
            </w:r>
            <w:r w:rsidR="00BE5A8A">
              <w:rPr>
                <w:b/>
              </w:rPr>
              <w:t>61</w:t>
            </w:r>
            <w:r>
              <w:rPr>
                <w:b/>
              </w:rPr>
              <w:t>.</w:t>
            </w:r>
            <w:r w:rsidR="00BE5A8A">
              <w:rPr>
                <w:b/>
              </w:rPr>
              <w:t>1</w:t>
            </w:r>
            <w:r>
              <w:rPr>
                <w:b/>
              </w:rPr>
              <w:t xml:space="preserve"> mV</w:t>
            </w:r>
          </w:p>
          <w:p w14:paraId="7221CEE4" w14:textId="1F7E826A" w:rsidR="00463F3E" w:rsidRDefault="00463F3E" w:rsidP="00BE354A">
            <w:r>
              <w:rPr>
                <w:b/>
              </w:rPr>
              <w:t xml:space="preserve">2.  </w:t>
            </w:r>
            <w:r w:rsidRPr="006C2E93">
              <w:rPr>
                <w:b/>
              </w:rPr>
              <w:t>Calculation of time constant:</w:t>
            </w:r>
          </w:p>
          <w:p w14:paraId="160AF438" w14:textId="1B47D9B0" w:rsidR="00463F3E" w:rsidRDefault="00463F3E" w:rsidP="00BE354A">
            <w:pPr>
              <w:rPr>
                <w:b/>
              </w:rPr>
            </w:pPr>
            <w:r>
              <w:t>Start inject: 300ms / -</w:t>
            </w:r>
            <w:r w:rsidR="00BE5A8A">
              <w:t>61</w:t>
            </w:r>
            <w:r>
              <w:t>.</w:t>
            </w:r>
            <w:r w:rsidR="00BE5A8A">
              <w:t>1</w:t>
            </w:r>
            <w:r>
              <w:t>mV</w:t>
            </w:r>
            <w:r>
              <w:br/>
              <w:t>Final Value: ~ -</w:t>
            </w:r>
            <w:r w:rsidR="00BE5A8A">
              <w:t>6</w:t>
            </w:r>
            <w:r>
              <w:t>4.</w:t>
            </w:r>
            <w:r w:rsidR="00BE5A8A">
              <w:t>147</w:t>
            </w:r>
            <w:r>
              <w:t>mV</w:t>
            </w:r>
            <w:r>
              <w:br/>
              <w:t>Difference: -</w:t>
            </w:r>
            <w:r w:rsidR="00BE5A8A">
              <w:t>3</w:t>
            </w:r>
            <w:r>
              <w:t>.</w:t>
            </w:r>
            <w:r w:rsidR="00BE5A8A">
              <w:t>047</w:t>
            </w:r>
            <w:r>
              <w:t xml:space="preserve">   | 63.2% = -</w:t>
            </w:r>
            <w:r w:rsidR="00BE5A8A">
              <w:t>1</w:t>
            </w:r>
            <w:r w:rsidRPr="008174FC">
              <w:t>.</w:t>
            </w:r>
            <w:r w:rsidR="00BE5A8A">
              <w:t>926</w:t>
            </w:r>
            <w:r>
              <w:t xml:space="preserve">   | -6</w:t>
            </w:r>
            <w:r w:rsidR="00BE5A8A">
              <w:t>1</w:t>
            </w:r>
            <w:r>
              <w:t>.</w:t>
            </w:r>
            <w:r w:rsidR="00BE5A8A">
              <w:t>1</w:t>
            </w:r>
            <w:r>
              <w:t xml:space="preserve"> - </w:t>
            </w:r>
            <w:r w:rsidR="00BE5A8A">
              <w:t>1</w:t>
            </w:r>
            <w:r w:rsidRPr="008174FC">
              <w:t>.</w:t>
            </w:r>
            <w:r w:rsidR="00BE5A8A">
              <w:t>926</w:t>
            </w:r>
            <w:r>
              <w:t xml:space="preserve"> = </w:t>
            </w:r>
            <w:r w:rsidRPr="00640B6C">
              <w:t>-</w:t>
            </w:r>
            <w:r>
              <w:t xml:space="preserve"> </w:t>
            </w:r>
            <w:r w:rsidR="00BE5A8A">
              <w:t>63</w:t>
            </w:r>
            <w:r w:rsidRPr="008174FC">
              <w:t>.</w:t>
            </w:r>
            <w:r w:rsidR="00BE5A8A">
              <w:t>026</w:t>
            </w:r>
            <w:r>
              <w:br/>
              <w:t xml:space="preserve">Time at </w:t>
            </w:r>
            <w:r w:rsidRPr="00640B6C">
              <w:t>-</w:t>
            </w:r>
            <w:r>
              <w:t xml:space="preserve"> </w:t>
            </w:r>
            <w:r w:rsidR="00BE5A8A">
              <w:t>63</w:t>
            </w:r>
            <w:r w:rsidRPr="008174FC">
              <w:t>.</w:t>
            </w:r>
            <w:r w:rsidR="00BE5A8A">
              <w:t>026</w:t>
            </w:r>
            <w:r>
              <w:t>: 113.7ms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</w:t>
            </w:r>
            <w:r>
              <w:t>= 3</w:t>
            </w:r>
            <w:r w:rsidR="00BE5A8A">
              <w:t>05</w:t>
            </w:r>
            <w:r>
              <w:t>.</w:t>
            </w:r>
            <w:r w:rsidR="00BE5A8A">
              <w:t>8</w:t>
            </w:r>
            <w:r>
              <w:t xml:space="preserve">5-300 </w:t>
            </w:r>
            <w:r>
              <w:br/>
            </w:r>
            <w:proofErr w:type="gramStart"/>
            <w:r w:rsidRPr="00201ABC">
              <w:rPr>
                <w:rFonts w:cstheme="minorHAnsi"/>
              </w:rPr>
              <w:t>τ</w:t>
            </w:r>
            <w:r w:rsidRPr="00201ABC">
              <w:t xml:space="preserve">  =</w:t>
            </w:r>
            <w:proofErr w:type="gramEnd"/>
            <w:r w:rsidRPr="00201ABC">
              <w:t xml:space="preserve"> </w:t>
            </w:r>
            <w:r w:rsidR="00BE5A8A">
              <w:t>5</w:t>
            </w:r>
            <w:r w:rsidRPr="00201ABC">
              <w:t>.</w:t>
            </w:r>
            <w:r w:rsidR="00BE5A8A">
              <w:t>85</w:t>
            </w:r>
            <w:r w:rsidRPr="00201ABC">
              <w:t xml:space="preserve"> ms</w:t>
            </w:r>
          </w:p>
          <w:p w14:paraId="3D47D7B1" w14:textId="349A4072" w:rsidR="00463F3E" w:rsidRDefault="00463F3E" w:rsidP="00BE354A">
            <w:pPr>
              <w:rPr>
                <w:b/>
              </w:rPr>
            </w:pPr>
            <w:proofErr w:type="gramStart"/>
            <w:r w:rsidRPr="00201ABC">
              <w:rPr>
                <w:rFonts w:cstheme="minorHAnsi"/>
                <w:b/>
              </w:rPr>
              <w:t>τ</w:t>
            </w:r>
            <w:r w:rsidRPr="00201ABC">
              <w:rPr>
                <w:b/>
              </w:rPr>
              <w:t xml:space="preserve">  =</w:t>
            </w:r>
            <w:proofErr w:type="gramEnd"/>
            <w:r w:rsidRPr="00201ABC">
              <w:rPr>
                <w:b/>
              </w:rPr>
              <w:t xml:space="preserve"> </w:t>
            </w:r>
            <w:r>
              <w:rPr>
                <w:b/>
              </w:rPr>
              <w:t>.0</w:t>
            </w:r>
            <w:r w:rsidR="00BE5A8A">
              <w:rPr>
                <w:b/>
              </w:rPr>
              <w:t>0</w:t>
            </w:r>
            <w:r>
              <w:rPr>
                <w:b/>
              </w:rPr>
              <w:t>5</w:t>
            </w:r>
            <w:r w:rsidR="00BE5A8A">
              <w:rPr>
                <w:b/>
              </w:rPr>
              <w:t>85</w:t>
            </w:r>
            <w:r>
              <w:rPr>
                <w:b/>
              </w:rPr>
              <w:t xml:space="preserve"> s</w:t>
            </w:r>
          </w:p>
          <w:p w14:paraId="082A88DB" w14:textId="77777777" w:rsidR="00463F3E" w:rsidRDefault="00463F3E" w:rsidP="00BE354A"/>
          <w:p w14:paraId="62D0EE15" w14:textId="535DE26A" w:rsidR="00463F3E" w:rsidRDefault="00463F3E" w:rsidP="00BE354A">
            <w:r>
              <w:rPr>
                <w:b/>
              </w:rPr>
              <w:t>3. Input Resistance</w:t>
            </w:r>
          </w:p>
          <w:p w14:paraId="044A8223" w14:textId="49CD4751" w:rsidR="00463F3E" w:rsidRDefault="00463F3E" w:rsidP="00BE354A">
            <w:pPr>
              <w:rPr>
                <w:rFonts w:cstheme="minorHAnsi"/>
              </w:rPr>
            </w:pPr>
            <w:r>
              <w:rPr>
                <w:rFonts w:cstheme="minorHAnsi"/>
              </w:rPr>
              <w:t>Δ</w:t>
            </w:r>
            <w:r>
              <w:t>V/</w:t>
            </w:r>
            <w:r>
              <w:rPr>
                <w:rFonts w:cstheme="minorHAnsi"/>
              </w:rPr>
              <w:t>ΔI = ( -6</w:t>
            </w:r>
            <w:r w:rsidR="00BE5A8A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BE5A8A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– (-</w:t>
            </w:r>
            <w:r w:rsidR="00BE5A8A">
              <w:rPr>
                <w:rFonts w:cstheme="minorHAnsi"/>
              </w:rPr>
              <w:t>64</w:t>
            </w:r>
            <w:r>
              <w:rPr>
                <w:rFonts w:cstheme="minorHAnsi"/>
              </w:rPr>
              <w:t>.</w:t>
            </w:r>
            <w:r w:rsidR="00BE5A8A">
              <w:rPr>
                <w:rFonts w:cstheme="minorHAnsi"/>
              </w:rPr>
              <w:t>147</w:t>
            </w:r>
            <w:proofErr w:type="gramStart"/>
            <w:r>
              <w:rPr>
                <w:rFonts w:cstheme="minorHAnsi"/>
              </w:rPr>
              <w:t>) )</w:t>
            </w:r>
            <w:proofErr w:type="gramEnd"/>
            <w:r>
              <w:rPr>
                <w:rFonts w:cstheme="minorHAnsi"/>
              </w:rPr>
              <w:t>/( 0 – (-</w:t>
            </w:r>
            <w:r w:rsidR="00FD3F90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0) ) </w:t>
            </w:r>
          </w:p>
          <w:p w14:paraId="396F1869" w14:textId="4B274993" w:rsidR="00463F3E" w:rsidRDefault="00463F3E" w:rsidP="00BE354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= </w:t>
            </w:r>
            <w:r w:rsidR="00BE5A8A">
              <w:rPr>
                <w:rFonts w:cstheme="minorHAnsi"/>
              </w:rPr>
              <w:t>3</w:t>
            </w:r>
            <w:r>
              <w:rPr>
                <w:rFonts w:cstheme="minorHAnsi"/>
              </w:rPr>
              <w:t>.</w:t>
            </w:r>
            <w:r w:rsidR="00BE5A8A">
              <w:rPr>
                <w:rFonts w:cstheme="minorHAnsi"/>
              </w:rPr>
              <w:t>0</w:t>
            </w:r>
            <w:r w:rsidR="00FD3F90">
              <w:rPr>
                <w:rFonts w:cstheme="minorHAnsi"/>
              </w:rPr>
              <w:t>4</w:t>
            </w:r>
            <w:r w:rsidR="00BE5A8A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mV / </w:t>
            </w:r>
            <w:r w:rsidR="005A48DA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0pA </w:t>
            </w:r>
            <w:r>
              <w:rPr>
                <w:rFonts w:cstheme="minorHAnsi"/>
              </w:rPr>
              <w:br/>
            </w:r>
            <w:proofErr w:type="spellStart"/>
            <w:r w:rsidRPr="00201ABC">
              <w:rPr>
                <w:rFonts w:cstheme="minorHAnsi"/>
                <w:b/>
              </w:rPr>
              <w:t>R_in</w:t>
            </w:r>
            <w:proofErr w:type="spellEnd"/>
            <w:r w:rsidRPr="00201ABC">
              <w:rPr>
                <w:rFonts w:cstheme="minorHAnsi"/>
                <w:b/>
              </w:rPr>
              <w:t xml:space="preserve">   </w:t>
            </w:r>
            <w:r w:rsidRPr="00201ABC">
              <w:rPr>
                <w:b/>
              </w:rPr>
              <w:t>=</w:t>
            </w:r>
            <w:r w:rsidR="00BE5A8A">
              <w:rPr>
                <w:b/>
              </w:rPr>
              <w:t xml:space="preserve"> 30</w:t>
            </w:r>
            <w:r>
              <w:rPr>
                <w:b/>
              </w:rPr>
              <w:t>.</w:t>
            </w:r>
            <w:r w:rsidR="00FD3F90">
              <w:rPr>
                <w:b/>
              </w:rPr>
              <w:t>47</w:t>
            </w:r>
            <w:r w:rsidRPr="00201ABC">
              <w:rPr>
                <w:b/>
              </w:rPr>
              <w:t xml:space="preserve"> M</w:t>
            </w:r>
            <w:r w:rsidRPr="00201ABC">
              <w:rPr>
                <w:rFonts w:cstheme="minorHAnsi"/>
                <w:b/>
              </w:rPr>
              <w:t>Ω</w:t>
            </w:r>
          </w:p>
          <w:p w14:paraId="7608479D" w14:textId="77777777" w:rsidR="00463F3E" w:rsidRDefault="00463F3E" w:rsidP="00BE354A"/>
        </w:tc>
      </w:tr>
    </w:tbl>
    <w:p w14:paraId="2A3E05D7" w14:textId="77777777" w:rsidR="00CB2EDC" w:rsidRDefault="00CB2EDC" w:rsidP="00190927">
      <w:pPr>
        <w:widowControl w:val="0"/>
        <w:autoSpaceDE w:val="0"/>
        <w:autoSpaceDN w:val="0"/>
        <w:adjustRightInd w:val="0"/>
        <w:spacing w:line="240" w:lineRule="auto"/>
        <w:rPr>
          <w:b/>
        </w:rPr>
      </w:pPr>
    </w:p>
    <w:p w14:paraId="6F7FCEEC" w14:textId="7CF28951" w:rsidR="00A66C15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>
        <w:rPr>
          <w:b/>
        </w:rPr>
        <w:t>Comparison of F-I curves</w:t>
      </w:r>
      <w:r w:rsidR="009217BA">
        <w:rPr>
          <w:b/>
        </w:rPr>
        <w:t xml:space="preserve"> (Actual: Green, Model: Black)</w:t>
      </w:r>
      <w:r w:rsidR="00867F79">
        <w:t>:</w:t>
      </w:r>
    </w:p>
    <w:p w14:paraId="0FDE0F7A" w14:textId="5A18EF51" w:rsidR="00867F79" w:rsidRDefault="002C093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2C0937">
        <w:drawing>
          <wp:inline distT="0" distB="0" distL="0" distR="0" wp14:anchorId="09A1EF4A" wp14:editId="5AD6FCFA">
            <wp:extent cx="6858000" cy="3900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5ED6" w14:textId="77777777" w:rsidR="002C0937" w:rsidRDefault="002C0937" w:rsidP="00BE354A">
      <w:pPr>
        <w:widowControl w:val="0"/>
        <w:tabs>
          <w:tab w:val="left" w:pos="609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0E67BF7F" w14:textId="77777777" w:rsidR="002C0937" w:rsidRDefault="002C0937" w:rsidP="00BE354A">
      <w:pPr>
        <w:widowControl w:val="0"/>
        <w:tabs>
          <w:tab w:val="left" w:pos="609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121F1325" w14:textId="77777777" w:rsidR="002C0937" w:rsidRDefault="002C0937" w:rsidP="00BE354A">
      <w:pPr>
        <w:widowControl w:val="0"/>
        <w:tabs>
          <w:tab w:val="left" w:pos="609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6FA53D08" w14:textId="3D2A12C6" w:rsidR="00A66C15" w:rsidRPr="00A66C15" w:rsidRDefault="00190927" w:rsidP="00BE354A">
      <w:pPr>
        <w:widowControl w:val="0"/>
        <w:tabs>
          <w:tab w:val="left" w:pos="609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lastRenderedPageBreak/>
        <w:t>Match with reported current injection responses (provide all)</w:t>
      </w:r>
      <w:r w:rsidR="00A66C15" w:rsidRPr="00A66C15">
        <w:rPr>
          <w:b/>
        </w:rPr>
        <w:t>:</w:t>
      </w:r>
      <w:r w:rsidR="00BE354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77"/>
        <w:gridCol w:w="4817"/>
      </w:tblGrid>
      <w:tr w:rsidR="002C0937" w14:paraId="0E65CB57" w14:textId="77777777" w:rsidTr="00314EA5">
        <w:tc>
          <w:tcPr>
            <w:tcW w:w="617" w:type="dxa"/>
          </w:tcPr>
          <w:p w14:paraId="1317E1FD" w14:textId="2C3426A5" w:rsidR="00A66C15" w:rsidRPr="00530274" w:rsidRDefault="009217BA" w:rsidP="00BE354A">
            <w:pPr>
              <w:rPr>
                <w:b/>
              </w:rPr>
            </w:pPr>
            <w:r>
              <w:rPr>
                <w:b/>
              </w:rPr>
              <w:t>400</w:t>
            </w:r>
          </w:p>
        </w:tc>
        <w:tc>
          <w:tcPr>
            <w:tcW w:w="5228" w:type="dxa"/>
          </w:tcPr>
          <w:p w14:paraId="164553B8" w14:textId="4A6986E4" w:rsidR="00A66C15" w:rsidRDefault="002C0937" w:rsidP="00BE354A">
            <w:r w:rsidRPr="002C0937">
              <w:drawing>
                <wp:inline distT="0" distB="0" distL="0" distR="0" wp14:anchorId="4D68BE21" wp14:editId="45755212">
                  <wp:extent cx="3277854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081" cy="173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7CA98525" w14:textId="69BE4DB2" w:rsidR="00A66C15" w:rsidRDefault="002C0937" w:rsidP="00BE354A">
            <w:r w:rsidRPr="002C0937">
              <w:drawing>
                <wp:inline distT="0" distB="0" distL="0" distR="0" wp14:anchorId="44B78E44" wp14:editId="32348EC2">
                  <wp:extent cx="2743200" cy="186688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5" cy="190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937" w:rsidRPr="00530274" w14:paraId="41473DE9" w14:textId="77777777" w:rsidTr="00314EA5">
        <w:tc>
          <w:tcPr>
            <w:tcW w:w="617" w:type="dxa"/>
          </w:tcPr>
          <w:p w14:paraId="7236757C" w14:textId="77777777" w:rsidR="00A66C15" w:rsidRPr="00530274" w:rsidRDefault="00A66C15" w:rsidP="00BE354A">
            <w:pPr>
              <w:rPr>
                <w:b/>
              </w:rPr>
            </w:pPr>
            <w:proofErr w:type="spellStart"/>
            <w:r w:rsidRPr="00530274">
              <w:rPr>
                <w:b/>
              </w:rPr>
              <w:t>pA</w:t>
            </w:r>
            <w:proofErr w:type="spellEnd"/>
            <w:r w:rsidRPr="00530274">
              <w:rPr>
                <w:b/>
              </w:rPr>
              <w:t xml:space="preserve"> </w:t>
            </w:r>
          </w:p>
        </w:tc>
        <w:tc>
          <w:tcPr>
            <w:tcW w:w="5228" w:type="dxa"/>
          </w:tcPr>
          <w:p w14:paraId="2E460EAF" w14:textId="77777777" w:rsidR="00A66C15" w:rsidRPr="00530274" w:rsidRDefault="00A66C15" w:rsidP="00BE354A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4945" w:type="dxa"/>
          </w:tcPr>
          <w:p w14:paraId="50AE1422" w14:textId="77777777" w:rsidR="00A66C15" w:rsidRPr="00530274" w:rsidRDefault="00A66C15" w:rsidP="00BE354A">
            <w:pPr>
              <w:rPr>
                <w:b/>
              </w:rPr>
            </w:pPr>
            <w:r w:rsidRPr="00530274">
              <w:rPr>
                <w:b/>
              </w:rPr>
              <w:t>Cell Model</w:t>
            </w:r>
          </w:p>
        </w:tc>
      </w:tr>
    </w:tbl>
    <w:p w14:paraId="4197D497" w14:textId="0C4D8C07" w:rsidR="00A66C15" w:rsidRDefault="00A66C15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7E37FCA0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686E4D35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6BF0D353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2E5423BE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32F8FADA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15502961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02971F39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534D87F9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4E6D5B62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3D74D043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03DD78E8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1B8180A6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41859DAC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6BBE7D53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35F9DF04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28A69B04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7C8DFCF6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03810FCA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154F1998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05BE8E6C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618EB0D2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54350546" w14:textId="77777777" w:rsidR="002C0937" w:rsidRDefault="002C0937" w:rsidP="000B455B">
      <w:pPr>
        <w:tabs>
          <w:tab w:val="left" w:pos="7875"/>
        </w:tabs>
        <w:jc w:val="center"/>
        <w:rPr>
          <w:b/>
          <w:bCs/>
        </w:rPr>
      </w:pPr>
    </w:p>
    <w:p w14:paraId="2D16F6DF" w14:textId="11182E1E" w:rsidR="000B455B" w:rsidRDefault="000B455B" w:rsidP="000B455B">
      <w:pPr>
        <w:tabs>
          <w:tab w:val="left" w:pos="7875"/>
        </w:tabs>
        <w:jc w:val="center"/>
        <w:rPr>
          <w:b/>
          <w:bCs/>
        </w:rPr>
      </w:pPr>
      <w:r>
        <w:rPr>
          <w:b/>
          <w:bCs/>
        </w:rPr>
        <w:lastRenderedPageBreak/>
        <w:t>Table 2-1.   GATING PARAMETERS OF ION CHANNELS</w:t>
      </w:r>
    </w:p>
    <w:tbl>
      <w:tblPr>
        <w:tblpPr w:leftFromText="180" w:rightFromText="180" w:vertAnchor="text" w:horzAnchor="margin" w:tblpXSpec="center" w:tblpY="469"/>
        <w:tblW w:w="503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088"/>
        <w:gridCol w:w="2168"/>
        <w:gridCol w:w="1988"/>
        <w:gridCol w:w="2081"/>
        <w:gridCol w:w="2441"/>
      </w:tblGrid>
      <w:tr w:rsidR="000B455B" w:rsidRPr="00975DE8" w14:paraId="076184C7" w14:textId="77777777" w:rsidTr="00BE354A">
        <w:trPr>
          <w:trHeight w:hRule="exact" w:val="787"/>
        </w:trPr>
        <w:tc>
          <w:tcPr>
            <w:tcW w:w="495" w:type="pct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0C4EB1A" w14:textId="77777777" w:rsidR="000B455B" w:rsidRPr="00573AD2" w:rsidRDefault="000B455B" w:rsidP="00BE35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3AD2">
              <w:rPr>
                <w:rFonts w:ascii="Arial" w:hAnsi="Arial" w:cs="Arial"/>
                <w:b/>
                <w:bCs/>
                <w:sz w:val="20"/>
                <w:szCs w:val="20"/>
              </w:rPr>
              <w:t>Current Type</w:t>
            </w:r>
          </w:p>
        </w:tc>
        <w:tc>
          <w:tcPr>
            <w:tcW w:w="502" w:type="pct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D7C23E7" w14:textId="77777777" w:rsidR="000B455B" w:rsidRPr="00573AD2" w:rsidRDefault="000B455B" w:rsidP="00BE35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73AD2">
              <w:rPr>
                <w:rFonts w:ascii="Arial" w:hAnsi="Arial" w:cs="Arial"/>
                <w:b/>
                <w:bCs/>
                <w:sz w:val="20"/>
                <w:szCs w:val="20"/>
              </w:rPr>
              <w:t>Gating Variable</w:t>
            </w:r>
          </w:p>
        </w:tc>
        <w:tc>
          <w:tcPr>
            <w:tcW w:w="1000" w:type="pct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E7A3E7F" w14:textId="77777777" w:rsidR="000B455B" w:rsidRPr="00573AD2" w:rsidRDefault="000B455B" w:rsidP="00BE354A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573AD2">
              <w:rPr>
                <w:rFonts w:ascii="Cambria Math" w:hAnsi="Cambria Math"/>
                <w:b/>
                <w:bCs/>
                <w:sz w:val="20"/>
                <w:szCs w:val="20"/>
              </w:rPr>
              <w:t>α</w:t>
            </w:r>
          </w:p>
        </w:tc>
        <w:tc>
          <w:tcPr>
            <w:tcW w:w="917" w:type="pct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2BC3F10" w14:textId="77777777" w:rsidR="000B455B" w:rsidRPr="00573AD2" w:rsidRDefault="000B455B" w:rsidP="00BE354A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573AD2">
              <w:rPr>
                <w:rFonts w:ascii="Cambria Math" w:hAnsi="Cambria Math"/>
                <w:b/>
                <w:bCs/>
                <w:sz w:val="20"/>
                <w:szCs w:val="20"/>
              </w:rPr>
              <w:t>β</w:t>
            </w:r>
          </w:p>
        </w:tc>
        <w:tc>
          <w:tcPr>
            <w:tcW w:w="960" w:type="pct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ACC3A1B" w14:textId="77777777" w:rsidR="000B455B" w:rsidRPr="00573AD2" w:rsidRDefault="0049034E" w:rsidP="00BE354A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126" w:type="pct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7DDE9DD" w14:textId="77777777" w:rsidR="000B455B" w:rsidRPr="00573AD2" w:rsidRDefault="000B455B" w:rsidP="00BE354A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proofErr w:type="spellStart"/>
            <w:r w:rsidRPr="000B28A5">
              <w:rPr>
                <w:rFonts w:cstheme="minorHAnsi"/>
                <w:b/>
                <w:bCs/>
                <w:sz w:val="20"/>
                <w:szCs w:val="20"/>
              </w:rPr>
              <w:t>τ</w:t>
            </w:r>
            <w:r w:rsidRPr="00573AD2">
              <w:rPr>
                <w:rFonts w:ascii="Cambria Math" w:hAnsi="Cambria Math"/>
                <w:b/>
                <w:bCs/>
                <w:sz w:val="20"/>
                <w:szCs w:val="20"/>
                <w:vertAlign w:val="subscript"/>
              </w:rPr>
              <w:t>x</w:t>
            </w:r>
            <w:proofErr w:type="spellEnd"/>
            <w:r w:rsidRPr="00573AD2">
              <w:rPr>
                <w:rFonts w:ascii="Cambria Math" w:hAnsi="Cambria Math"/>
                <w:b/>
                <w:bCs/>
                <w:sz w:val="20"/>
                <w:szCs w:val="20"/>
                <w:vertAlign w:val="subscript"/>
              </w:rPr>
              <w:t xml:space="preserve"> </w:t>
            </w:r>
            <w:r w:rsidRPr="00573AD2">
              <w:rPr>
                <w:rFonts w:ascii="Cambria Math" w:hAnsi="Cambria Math"/>
                <w:b/>
                <w:bCs/>
                <w:sz w:val="20"/>
                <w:szCs w:val="20"/>
              </w:rPr>
              <w:t>(ms)</w:t>
            </w:r>
          </w:p>
        </w:tc>
      </w:tr>
      <w:tr w:rsidR="00C74A11" w:rsidRPr="00975DE8" w14:paraId="79886905" w14:textId="77777777" w:rsidTr="00BE354A">
        <w:trPr>
          <w:trHeight w:hRule="exact" w:val="619"/>
        </w:trPr>
        <w:tc>
          <w:tcPr>
            <w:tcW w:w="495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F7054" w14:textId="77777777" w:rsidR="00C74A11" w:rsidRPr="00975DE8" w:rsidRDefault="00C74A11" w:rsidP="00C74A11">
            <w:pPr>
              <w:jc w:val="center"/>
              <w:rPr>
                <w:rFonts w:ascii="Calibri" w:hAnsi="Calibri"/>
                <w:bCs/>
                <w:i/>
                <w:iCs/>
                <w:sz w:val="28"/>
                <w:szCs w:val="28"/>
              </w:rPr>
            </w:pPr>
            <w:r w:rsidRPr="00975DE8">
              <w:rPr>
                <w:rFonts w:ascii="Calibri" w:hAnsi="Calibri"/>
                <w:i/>
                <w:iCs/>
                <w:noProof/>
                <w:position w:val="-10"/>
                <w:sz w:val="28"/>
                <w:szCs w:val="28"/>
              </w:rPr>
              <w:t>I</w:t>
            </w:r>
            <w:r w:rsidRPr="00975DE8">
              <w:rPr>
                <w:rFonts w:ascii="Calibri" w:hAnsi="Calibri"/>
                <w:i/>
                <w:iCs/>
                <w:noProof/>
                <w:position w:val="-10"/>
                <w:sz w:val="28"/>
                <w:szCs w:val="28"/>
                <w:vertAlign w:val="subscript"/>
              </w:rPr>
              <w:t>Na</w:t>
            </w:r>
          </w:p>
        </w:tc>
        <w:tc>
          <w:tcPr>
            <w:tcW w:w="502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DF51C89" w14:textId="77777777" w:rsidR="00C74A11" w:rsidRPr="00975DE8" w:rsidRDefault="00C74A11" w:rsidP="00C74A11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 w:rsidRPr="00975DE8">
              <w:rPr>
                <w:rFonts w:ascii="Calibri" w:hAnsi="Calibri"/>
                <w:i/>
                <w:sz w:val="20"/>
                <w:szCs w:val="20"/>
              </w:rPr>
              <w:t>p=3</w:t>
            </w:r>
          </w:p>
        </w:tc>
        <w:tc>
          <w:tcPr>
            <w:tcW w:w="100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F547B54" w14:textId="48BFF068" w:rsidR="00C74A11" w:rsidRPr="00737F17" w:rsidRDefault="0049034E" w:rsidP="00C74A11">
            <w:pPr>
              <w:autoSpaceDE w:val="0"/>
              <w:autoSpaceDN w:val="0"/>
              <w:adjustRightInd w:val="0"/>
              <w:jc w:val="center"/>
              <w:rPr>
                <w:sz w:val="14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-0.4(V+30)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exp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[-(V+30)/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10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 xml:space="preserve">]-1 </m:t>
                    </m:r>
                  </m:den>
                </m:f>
              </m:oMath>
            </m:oMathPara>
          </w:p>
        </w:tc>
        <w:tc>
          <w:tcPr>
            <w:tcW w:w="917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0C0AE6" w14:textId="1B7AF06B" w:rsidR="00C74A11" w:rsidRPr="00737F17" w:rsidRDefault="0049034E" w:rsidP="00C74A11">
            <w:pPr>
              <w:jc w:val="center"/>
              <w:rPr>
                <w:sz w:val="14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0.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5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(V+30)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exp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[(V+30)/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10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 xml:space="preserve">]-1 </m:t>
                    </m:r>
                  </m:den>
                </m:f>
              </m:oMath>
            </m:oMathPara>
          </w:p>
        </w:tc>
        <w:tc>
          <w:tcPr>
            <w:tcW w:w="96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0AFB09" w14:textId="27B0BAAF" w:rsidR="00C74A11" w:rsidRPr="00C74A11" w:rsidRDefault="0049034E" w:rsidP="00C74A11">
            <w:pPr>
              <w:jc w:val="center"/>
              <w:rPr>
                <w:b/>
                <w:sz w:val="14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20"/>
                              </w:rPr>
                              <m:t>(-V-38.43)/7.2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26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44D6E2D" w14:textId="77777777" w:rsidR="00C74A11" w:rsidRPr="00737F17" w:rsidRDefault="0049034E" w:rsidP="00C74A11">
            <w:pPr>
              <w:jc w:val="center"/>
              <w:rPr>
                <w:bCs/>
                <w:sz w:val="16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0.6156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α+β</m:t>
                    </m:r>
                  </m:den>
                </m:f>
              </m:oMath>
            </m:oMathPara>
          </w:p>
        </w:tc>
      </w:tr>
      <w:tr w:rsidR="00C74A11" w:rsidRPr="00975DE8" w14:paraId="4AA0CC6A" w14:textId="77777777" w:rsidTr="00BE354A">
        <w:trPr>
          <w:trHeight w:hRule="exact" w:val="598"/>
        </w:trPr>
        <w:tc>
          <w:tcPr>
            <w:tcW w:w="495" w:type="pct"/>
            <w:vMerge/>
            <w:shd w:val="clear" w:color="auto" w:fill="auto"/>
            <w:vAlign w:val="center"/>
          </w:tcPr>
          <w:p w14:paraId="0131D942" w14:textId="77777777" w:rsidR="00C74A11" w:rsidRPr="00975DE8" w:rsidRDefault="00C74A11" w:rsidP="00C74A11">
            <w:pPr>
              <w:jc w:val="center"/>
              <w:rPr>
                <w:rFonts w:ascii="Calibri" w:hAnsi="Calibri"/>
                <w:bCs/>
                <w:sz w:val="14"/>
                <w:szCs w:val="20"/>
              </w:rPr>
            </w:pPr>
          </w:p>
        </w:tc>
        <w:tc>
          <w:tcPr>
            <w:tcW w:w="502" w:type="pct"/>
            <w:shd w:val="clear" w:color="auto" w:fill="auto"/>
            <w:vAlign w:val="center"/>
          </w:tcPr>
          <w:p w14:paraId="706876F1" w14:textId="77777777" w:rsidR="00C74A11" w:rsidRPr="00975DE8" w:rsidRDefault="00C74A11" w:rsidP="00C74A11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 w:rsidRPr="00975DE8">
              <w:rPr>
                <w:rFonts w:ascii="Calibri" w:hAnsi="Calibri"/>
                <w:i/>
                <w:sz w:val="20"/>
                <w:szCs w:val="20"/>
              </w:rPr>
              <w:t>q=1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2A7DDB5" w14:textId="1A612EA4" w:rsidR="00C74A11" w:rsidRPr="00737F17" w:rsidRDefault="0049034E" w:rsidP="00C74A11">
            <w:pPr>
              <w:jc w:val="center"/>
              <w:rPr>
                <w:sz w:val="16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-0.0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(V+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40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exp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[-(V+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40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 xml:space="preserve">)/1.5]-1 </m:t>
                    </m:r>
                  </m:den>
                </m:f>
              </m:oMath>
            </m:oMathPara>
          </w:p>
        </w:tc>
        <w:tc>
          <w:tcPr>
            <w:tcW w:w="917" w:type="pct"/>
            <w:shd w:val="clear" w:color="auto" w:fill="auto"/>
            <w:vAlign w:val="center"/>
          </w:tcPr>
          <w:p w14:paraId="2CF14C2F" w14:textId="570D36C4" w:rsidR="00C74A11" w:rsidRPr="00737F17" w:rsidRDefault="0049034E" w:rsidP="00C74A11">
            <w:pPr>
              <w:jc w:val="center"/>
              <w:rPr>
                <w:sz w:val="16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0.01(V+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5)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0"/>
                      </w:rPr>
                      <m:t>exp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[(V+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 xml:space="preserve">5)/1.5]-1 </m:t>
                    </m:r>
                  </m:den>
                </m:f>
              </m:oMath>
            </m:oMathPara>
          </w:p>
        </w:tc>
        <w:tc>
          <w:tcPr>
            <w:tcW w:w="960" w:type="pct"/>
            <w:shd w:val="clear" w:color="auto" w:fill="auto"/>
            <w:vAlign w:val="center"/>
          </w:tcPr>
          <w:p w14:paraId="4004826A" w14:textId="2FC93482" w:rsidR="00C74A11" w:rsidRPr="00737F17" w:rsidRDefault="0049034E" w:rsidP="00C74A11">
            <w:pPr>
              <w:rPr>
                <w:sz w:val="16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20"/>
                              </w:rPr>
                              <m:t>(V+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20"/>
                              </w:rPr>
                              <m:t>50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20"/>
                              </w:rPr>
                              <m:t>)/4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26" w:type="pct"/>
            <w:shd w:val="clear" w:color="auto" w:fill="auto"/>
            <w:vAlign w:val="center"/>
          </w:tcPr>
          <w:p w14:paraId="080BE019" w14:textId="77777777" w:rsidR="00C74A11" w:rsidRPr="00737F17" w:rsidRDefault="0049034E" w:rsidP="00C74A11">
            <w:pPr>
              <w:jc w:val="center"/>
              <w:rPr>
                <w:bCs/>
                <w:sz w:val="16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0.6156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α+β</m:t>
                    </m:r>
                  </m:den>
                </m:f>
              </m:oMath>
            </m:oMathPara>
          </w:p>
        </w:tc>
      </w:tr>
      <w:tr w:rsidR="00C74A11" w:rsidRPr="00975DE8" w14:paraId="3D963071" w14:textId="77777777" w:rsidTr="00BE354A">
        <w:trPr>
          <w:trHeight w:hRule="exact" w:val="710"/>
        </w:trPr>
        <w:tc>
          <w:tcPr>
            <w:tcW w:w="495" w:type="pct"/>
            <w:shd w:val="clear" w:color="auto" w:fill="auto"/>
            <w:vAlign w:val="center"/>
          </w:tcPr>
          <w:p w14:paraId="15CED43B" w14:textId="77777777" w:rsidR="00C74A11" w:rsidRPr="00975DE8" w:rsidRDefault="00C74A11" w:rsidP="00C74A11">
            <w:pPr>
              <w:jc w:val="center"/>
              <w:rPr>
                <w:rFonts w:ascii="Calibri" w:hAnsi="Calibri"/>
                <w:bCs/>
                <w:sz w:val="14"/>
                <w:szCs w:val="20"/>
              </w:rPr>
            </w:pPr>
            <w:r w:rsidRPr="00975DE8">
              <w:rPr>
                <w:rFonts w:ascii="Calibri" w:hAnsi="Calibri"/>
                <w:i/>
                <w:iCs/>
                <w:noProof/>
                <w:position w:val="-10"/>
                <w:sz w:val="28"/>
                <w:szCs w:val="28"/>
              </w:rPr>
              <w:t>I</w:t>
            </w:r>
            <w:r w:rsidRPr="00975DE8">
              <w:rPr>
                <w:rFonts w:ascii="Calibri" w:hAnsi="Calibri"/>
                <w:i/>
                <w:iCs/>
                <w:noProof/>
                <w:position w:val="-10"/>
                <w:sz w:val="28"/>
                <w:szCs w:val="28"/>
                <w:vertAlign w:val="subscript"/>
              </w:rPr>
              <w:t>Kdr</w:t>
            </w:r>
          </w:p>
        </w:tc>
        <w:tc>
          <w:tcPr>
            <w:tcW w:w="502" w:type="pct"/>
            <w:shd w:val="clear" w:color="auto" w:fill="auto"/>
            <w:vAlign w:val="center"/>
          </w:tcPr>
          <w:p w14:paraId="3AB0871E" w14:textId="77777777" w:rsidR="00C74A11" w:rsidRPr="00975DE8" w:rsidRDefault="00C74A11" w:rsidP="00C74A11">
            <w:pPr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 w:rsidRPr="00975DE8">
              <w:rPr>
                <w:rFonts w:ascii="Calibri" w:hAnsi="Calibri"/>
                <w:i/>
                <w:sz w:val="20"/>
                <w:szCs w:val="20"/>
              </w:rPr>
              <w:t>p=1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13C5FC5" w14:textId="422EDC03" w:rsidR="00C74A11" w:rsidRPr="00737F17" w:rsidRDefault="00C74A11" w:rsidP="00C74A11">
            <w:pPr>
              <w:jc w:val="center"/>
              <w:rPr>
                <w:sz w:val="16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exp[-0.1247(V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+15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)]</m:t>
                </m:r>
              </m:oMath>
            </m:oMathPara>
          </w:p>
        </w:tc>
        <w:tc>
          <w:tcPr>
            <w:tcW w:w="917" w:type="pct"/>
            <w:shd w:val="clear" w:color="auto" w:fill="auto"/>
            <w:vAlign w:val="center"/>
          </w:tcPr>
          <w:p w14:paraId="2432C230" w14:textId="3F47D15E" w:rsidR="00C74A11" w:rsidRPr="00737F17" w:rsidRDefault="00C74A11" w:rsidP="00C74A11">
            <w:pPr>
              <w:jc w:val="center"/>
              <w:rPr>
                <w:sz w:val="16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exp[-0.0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125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(V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+15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20"/>
                  </w:rPr>
                  <m:t>)]</m:t>
                </m:r>
              </m:oMath>
            </m:oMathPara>
          </w:p>
        </w:tc>
        <w:tc>
          <w:tcPr>
            <w:tcW w:w="960" w:type="pct"/>
            <w:shd w:val="clear" w:color="auto" w:fill="auto"/>
            <w:vAlign w:val="center"/>
          </w:tcPr>
          <w:p w14:paraId="4A507910" w14:textId="31BF141A" w:rsidR="00C74A11" w:rsidRPr="00737F17" w:rsidRDefault="0049034E" w:rsidP="00C74A11">
            <w:pPr>
              <w:rPr>
                <w:sz w:val="16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0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20"/>
                              </w:rPr>
                              <m:t>-15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20"/>
                              </w:rPr>
                              <m:t>-V)/11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0"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26" w:type="pct"/>
            <w:shd w:val="clear" w:color="auto" w:fill="auto"/>
            <w:vAlign w:val="center"/>
          </w:tcPr>
          <w:p w14:paraId="0C413B8C" w14:textId="518A77D4" w:rsidR="00C74A11" w:rsidRPr="00737F17" w:rsidRDefault="0049034E" w:rsidP="00C74A11">
            <w:pPr>
              <w:jc w:val="center"/>
              <w:rPr>
                <w:sz w:val="16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8.33</m:t>
                    </m:r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*β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20"/>
                      </w:rPr>
                      <m:t>1+α</m:t>
                    </m:r>
                  </m:den>
                </m:f>
              </m:oMath>
            </m:oMathPara>
          </w:p>
        </w:tc>
      </w:tr>
    </w:tbl>
    <w:p w14:paraId="65098E05" w14:textId="77777777" w:rsidR="000B455B" w:rsidRDefault="000B455B" w:rsidP="000B455B">
      <w:pPr>
        <w:tabs>
          <w:tab w:val="left" w:pos="7875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A9A3AD2" w14:textId="77777777" w:rsidR="000B455B" w:rsidRDefault="000B455B" w:rsidP="000B455B">
      <w:pPr>
        <w:tabs>
          <w:tab w:val="left" w:pos="7875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9CF5E6F" w14:textId="77777777" w:rsidR="000B455B" w:rsidRDefault="000B455B" w:rsidP="000B455B">
      <w:pPr>
        <w:rPr>
          <w:rFonts w:ascii="Times New Roman" w:hAnsi="Times New Roman" w:cs="Times New Roman"/>
          <w:b/>
          <w:bCs/>
        </w:rPr>
      </w:pPr>
    </w:p>
    <w:p w14:paraId="3366A17D" w14:textId="77777777" w:rsidR="000B455B" w:rsidRDefault="000B455B" w:rsidP="000B455B">
      <w:pPr>
        <w:rPr>
          <w:rFonts w:ascii="Times New Roman" w:hAnsi="Times New Roman" w:cs="Times New Roman"/>
          <w:b/>
          <w:bCs/>
        </w:rPr>
      </w:pPr>
    </w:p>
    <w:p w14:paraId="42A8A39E" w14:textId="77777777" w:rsidR="004E10F7" w:rsidRPr="004E69EB" w:rsidRDefault="000B455B" w:rsidP="004E10F7">
      <w:pPr>
        <w:rPr>
          <w:b/>
          <w:bCs/>
          <w:szCs w:val="24"/>
        </w:rPr>
      </w:pPr>
      <w:r>
        <w:rPr>
          <w:b/>
          <w:bCs/>
        </w:rPr>
        <w:br w:type="page"/>
      </w:r>
      <w:r w:rsidR="004E10F7" w:rsidRPr="004E69EB">
        <w:rPr>
          <w:b/>
          <w:bCs/>
        </w:rPr>
        <w:lastRenderedPageBreak/>
        <w:t xml:space="preserve">Table S2. </w:t>
      </w:r>
      <w:r w:rsidR="004E10F7" w:rsidRPr="004E69EB">
        <w:rPr>
          <w:b/>
          <w:bCs/>
          <w:szCs w:val="24"/>
        </w:rPr>
        <w:t>Parameters of single cell models</w:t>
      </w:r>
    </w:p>
    <w:p w14:paraId="5A99B086" w14:textId="77777777" w:rsidR="004E10F7" w:rsidRDefault="004E10F7" w:rsidP="004E10F7">
      <w:pPr>
        <w:pStyle w:val="SMHeading"/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2965"/>
        <w:gridCol w:w="3150"/>
        <w:gridCol w:w="4410"/>
      </w:tblGrid>
      <w:tr w:rsidR="00CB6B91" w:rsidRPr="00E04177" w14:paraId="6543CFEF" w14:textId="77777777" w:rsidTr="00CB6B91">
        <w:trPr>
          <w:trHeight w:val="245"/>
        </w:trPr>
        <w:tc>
          <w:tcPr>
            <w:tcW w:w="2965" w:type="dxa"/>
          </w:tcPr>
          <w:p w14:paraId="5515F37F" w14:textId="77777777" w:rsidR="00CB6B91" w:rsidRPr="00E04177" w:rsidRDefault="00CB6B91" w:rsidP="00BE354A">
            <w:pPr>
              <w:jc w:val="center"/>
              <w:rPr>
                <w:szCs w:val="24"/>
              </w:rPr>
            </w:pPr>
          </w:p>
        </w:tc>
        <w:tc>
          <w:tcPr>
            <w:tcW w:w="7560" w:type="dxa"/>
            <w:gridSpan w:val="2"/>
          </w:tcPr>
          <w:p w14:paraId="048745B0" w14:textId="06C63CD5" w:rsidR="00CB6B91" w:rsidRPr="00E04177" w:rsidRDefault="00CB6B91" w:rsidP="00BE35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OLM</w:t>
            </w:r>
            <w:r w:rsidRPr="00E04177">
              <w:rPr>
                <w:szCs w:val="24"/>
              </w:rPr>
              <w:t xml:space="preserve"> interneuron</w:t>
            </w:r>
          </w:p>
        </w:tc>
      </w:tr>
      <w:tr w:rsidR="00CB6B91" w:rsidRPr="00E04177" w14:paraId="684AD3D3" w14:textId="77777777" w:rsidTr="00CB6B91">
        <w:trPr>
          <w:trHeight w:val="227"/>
        </w:trPr>
        <w:tc>
          <w:tcPr>
            <w:tcW w:w="2965" w:type="dxa"/>
          </w:tcPr>
          <w:p w14:paraId="758CFE7B" w14:textId="77777777" w:rsidR="00CB6B91" w:rsidRPr="00E04177" w:rsidRDefault="00CB6B91" w:rsidP="00BE354A">
            <w:pPr>
              <w:rPr>
                <w:szCs w:val="24"/>
              </w:rPr>
            </w:pPr>
          </w:p>
        </w:tc>
        <w:tc>
          <w:tcPr>
            <w:tcW w:w="3150" w:type="dxa"/>
          </w:tcPr>
          <w:p w14:paraId="7EC998BB" w14:textId="77777777" w:rsidR="00CB6B91" w:rsidRPr="00E04177" w:rsidRDefault="00CB6B91" w:rsidP="00BE354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soma</w:t>
            </w:r>
          </w:p>
        </w:tc>
        <w:tc>
          <w:tcPr>
            <w:tcW w:w="4410" w:type="dxa"/>
          </w:tcPr>
          <w:p w14:paraId="16F5281C" w14:textId="1CD0DB76" w:rsidR="00CB6B91" w:rsidRPr="00E04177" w:rsidRDefault="00072EB7" w:rsidP="00BE35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</w:t>
            </w:r>
            <w:r w:rsidR="00CB6B91" w:rsidRPr="00E04177">
              <w:rPr>
                <w:szCs w:val="24"/>
              </w:rPr>
              <w:t>endrites</w:t>
            </w:r>
            <w:r>
              <w:rPr>
                <w:szCs w:val="24"/>
              </w:rPr>
              <w:t xml:space="preserve"> (1)</w:t>
            </w:r>
          </w:p>
        </w:tc>
      </w:tr>
      <w:tr w:rsidR="00CB6B91" w:rsidRPr="00E04177" w14:paraId="642B42B6" w14:textId="77777777" w:rsidTr="00CB6B91">
        <w:trPr>
          <w:trHeight w:val="245"/>
        </w:trPr>
        <w:tc>
          <w:tcPr>
            <w:tcW w:w="2965" w:type="dxa"/>
          </w:tcPr>
          <w:p w14:paraId="19AD2AF5" w14:textId="77777777" w:rsidR="00CB6B91" w:rsidRPr="00E04177" w:rsidRDefault="00CB6B91" w:rsidP="00BE354A">
            <w:pPr>
              <w:rPr>
                <w:szCs w:val="24"/>
              </w:rPr>
            </w:pPr>
            <w:r w:rsidRPr="00E04177">
              <w:rPr>
                <w:szCs w:val="24"/>
              </w:rPr>
              <w:t>Cm (µF/cm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</w:tc>
        <w:tc>
          <w:tcPr>
            <w:tcW w:w="3150" w:type="dxa"/>
          </w:tcPr>
          <w:p w14:paraId="6C9F3815" w14:textId="31E405E7" w:rsidR="00CB6B91" w:rsidRPr="00E04177" w:rsidRDefault="00CB6B91" w:rsidP="00BE354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</w:p>
        </w:tc>
        <w:tc>
          <w:tcPr>
            <w:tcW w:w="4410" w:type="dxa"/>
          </w:tcPr>
          <w:p w14:paraId="33376E06" w14:textId="46A86231" w:rsidR="00CB6B91" w:rsidRPr="00E04177" w:rsidRDefault="00CB6B91" w:rsidP="00BE354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</w:p>
        </w:tc>
      </w:tr>
      <w:tr w:rsidR="00CB6B91" w:rsidRPr="00E04177" w14:paraId="48002B6C" w14:textId="77777777" w:rsidTr="00CB6B91">
        <w:trPr>
          <w:trHeight w:val="245"/>
        </w:trPr>
        <w:tc>
          <w:tcPr>
            <w:tcW w:w="2965" w:type="dxa"/>
          </w:tcPr>
          <w:p w14:paraId="6AAB27BE" w14:textId="77777777" w:rsidR="00CB6B91" w:rsidRPr="00E04177" w:rsidRDefault="00CB6B91" w:rsidP="00BE354A">
            <w:pPr>
              <w:rPr>
                <w:szCs w:val="24"/>
              </w:rPr>
            </w:pPr>
            <w:r w:rsidRPr="00E04177">
              <w:rPr>
                <w:szCs w:val="24"/>
              </w:rPr>
              <w:t>Ra (</w:t>
            </w:r>
            <w:proofErr w:type="spellStart"/>
            <w:r w:rsidRPr="00E04177">
              <w:rPr>
                <w:szCs w:val="24"/>
              </w:rPr>
              <w:t>Ωcm</w:t>
            </w:r>
            <w:proofErr w:type="spellEnd"/>
            <w:r w:rsidRPr="00E04177">
              <w:rPr>
                <w:szCs w:val="24"/>
              </w:rPr>
              <w:t>)</w:t>
            </w:r>
          </w:p>
        </w:tc>
        <w:tc>
          <w:tcPr>
            <w:tcW w:w="3150" w:type="dxa"/>
          </w:tcPr>
          <w:p w14:paraId="5794CAB1" w14:textId="2F0A8F29" w:rsidR="00CB6B91" w:rsidRPr="00E04177" w:rsidRDefault="00072EB7" w:rsidP="00BE35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35.4</w:t>
            </w:r>
          </w:p>
        </w:tc>
        <w:tc>
          <w:tcPr>
            <w:tcW w:w="4410" w:type="dxa"/>
          </w:tcPr>
          <w:p w14:paraId="0230DE9E" w14:textId="3E7D95CD" w:rsidR="00CB6B91" w:rsidRPr="00E04177" w:rsidRDefault="00072EB7" w:rsidP="00BE35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35.4</w:t>
            </w:r>
          </w:p>
        </w:tc>
      </w:tr>
      <w:tr w:rsidR="00CB6B91" w:rsidRPr="00E04177" w14:paraId="48D42D9E" w14:textId="77777777" w:rsidTr="00072EB7">
        <w:trPr>
          <w:trHeight w:val="1340"/>
        </w:trPr>
        <w:tc>
          <w:tcPr>
            <w:tcW w:w="2965" w:type="dxa"/>
          </w:tcPr>
          <w:p w14:paraId="0156ECA1" w14:textId="7ACE24AA" w:rsidR="00CB6B91" w:rsidRPr="00E04177" w:rsidRDefault="00CB6B91" w:rsidP="00BE354A">
            <w:pPr>
              <w:rPr>
                <w:szCs w:val="24"/>
              </w:rPr>
            </w:pPr>
            <w:r w:rsidRPr="00E04177">
              <w:rPr>
                <w:szCs w:val="24"/>
              </w:rPr>
              <w:t>Conductance</w:t>
            </w:r>
            <w:r>
              <w:rPr>
                <w:szCs w:val="24"/>
              </w:rPr>
              <w:t xml:space="preserve"> </w:t>
            </w:r>
            <w:r w:rsidRPr="00E04177">
              <w:rPr>
                <w:szCs w:val="24"/>
              </w:rPr>
              <w:t>(mho/cm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  <w:p w14:paraId="7EC091C2" w14:textId="77777777" w:rsidR="00CB6B91" w:rsidRPr="00E04177" w:rsidRDefault="00CB6B91" w:rsidP="00BE354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gNabar</w:t>
            </w:r>
            <w:proofErr w:type="spellEnd"/>
          </w:p>
          <w:p w14:paraId="3CA4C54D" w14:textId="77777777" w:rsidR="00CB6B91" w:rsidRPr="00E04177" w:rsidRDefault="00CB6B91" w:rsidP="00BE354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gKdrbar</w:t>
            </w:r>
            <w:proofErr w:type="spellEnd"/>
          </w:p>
          <w:p w14:paraId="1831E9BA" w14:textId="77777777" w:rsidR="00CB6B91" w:rsidRPr="00E04177" w:rsidRDefault="00CB6B91" w:rsidP="00BE354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gLeak</w:t>
            </w:r>
            <w:proofErr w:type="spellEnd"/>
          </w:p>
          <w:p w14:paraId="67B0B991" w14:textId="5EC1B482" w:rsidR="00CB6B91" w:rsidRPr="00E04177" w:rsidRDefault="00CB6B91" w:rsidP="00072EB7">
            <w:pPr>
              <w:rPr>
                <w:szCs w:val="24"/>
              </w:rPr>
            </w:pPr>
          </w:p>
        </w:tc>
        <w:tc>
          <w:tcPr>
            <w:tcW w:w="3150" w:type="dxa"/>
          </w:tcPr>
          <w:p w14:paraId="17D9364A" w14:textId="77777777" w:rsidR="00CB6B91" w:rsidRPr="00E04177" w:rsidRDefault="00CB6B91" w:rsidP="00BE354A">
            <w:pPr>
              <w:rPr>
                <w:szCs w:val="24"/>
              </w:rPr>
            </w:pPr>
          </w:p>
          <w:p w14:paraId="030485CF" w14:textId="0BB328F5" w:rsidR="00CB6B91" w:rsidRPr="00E04177" w:rsidRDefault="00CB6B91" w:rsidP="00BE354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</w:t>
            </w:r>
            <w:r w:rsidR="00072EB7">
              <w:rPr>
                <w:szCs w:val="24"/>
              </w:rPr>
              <w:t>1</w:t>
            </w:r>
          </w:p>
          <w:p w14:paraId="5F8E1044" w14:textId="0571BE67" w:rsidR="00CB6B91" w:rsidRPr="00E04177" w:rsidRDefault="00072EB7" w:rsidP="00BE35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1.0359e-03</w:t>
            </w:r>
          </w:p>
          <w:p w14:paraId="6812F824" w14:textId="1806F150" w:rsidR="00CB6B91" w:rsidRPr="00E04177" w:rsidRDefault="00CB6B91" w:rsidP="00BE354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1.</w:t>
            </w:r>
            <w:r w:rsidR="00072EB7">
              <w:rPr>
                <w:szCs w:val="24"/>
              </w:rPr>
              <w:t>7</w:t>
            </w:r>
            <w:r w:rsidRPr="00E04177">
              <w:rPr>
                <w:szCs w:val="24"/>
              </w:rPr>
              <w:t>e-4</w:t>
            </w:r>
          </w:p>
          <w:p w14:paraId="3119091C" w14:textId="4836C62E" w:rsidR="00CB6B91" w:rsidRPr="00E04177" w:rsidRDefault="00CB6B91" w:rsidP="00072EB7">
            <w:pPr>
              <w:jc w:val="center"/>
              <w:rPr>
                <w:szCs w:val="24"/>
              </w:rPr>
            </w:pPr>
          </w:p>
        </w:tc>
        <w:tc>
          <w:tcPr>
            <w:tcW w:w="4410" w:type="dxa"/>
          </w:tcPr>
          <w:p w14:paraId="34C16F61" w14:textId="77777777" w:rsidR="00CB6B91" w:rsidRPr="00E04177" w:rsidRDefault="00CB6B91" w:rsidP="00BE354A">
            <w:pPr>
              <w:rPr>
                <w:szCs w:val="24"/>
              </w:rPr>
            </w:pPr>
          </w:p>
          <w:p w14:paraId="046EC06F" w14:textId="6A59A245" w:rsidR="00CB6B91" w:rsidRDefault="00CB6B91" w:rsidP="00BE35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</w:t>
            </w:r>
            <w:r w:rsidR="00072EB7">
              <w:rPr>
                <w:szCs w:val="24"/>
              </w:rPr>
              <w:t>1</w:t>
            </w:r>
          </w:p>
          <w:p w14:paraId="0E296A3B" w14:textId="6157AE65" w:rsidR="00CB6B91" w:rsidRPr="00E04177" w:rsidRDefault="00CB6B91" w:rsidP="00072E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</w:t>
            </w:r>
            <w:r w:rsidR="00072EB7">
              <w:rPr>
                <w:szCs w:val="24"/>
              </w:rPr>
              <w:t xml:space="preserve"> </w:t>
            </w:r>
            <w:r w:rsidR="00072EB7">
              <w:rPr>
                <w:szCs w:val="24"/>
              </w:rPr>
              <w:t>1.0359e-03</w:t>
            </w:r>
          </w:p>
          <w:p w14:paraId="65DCFFB8" w14:textId="6AD5DA94" w:rsidR="00CB6B91" w:rsidRPr="00E04177" w:rsidRDefault="00CB6B91" w:rsidP="00BE354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1.</w:t>
            </w:r>
            <w:r w:rsidR="00072EB7">
              <w:rPr>
                <w:szCs w:val="24"/>
              </w:rPr>
              <w:t>7</w:t>
            </w:r>
            <w:r w:rsidRPr="00E04177">
              <w:rPr>
                <w:szCs w:val="24"/>
              </w:rPr>
              <w:t>e-4</w:t>
            </w:r>
          </w:p>
          <w:p w14:paraId="7BAF7FD0" w14:textId="785D9C36" w:rsidR="00CB6B91" w:rsidRPr="00E04177" w:rsidRDefault="00CB6B91" w:rsidP="00072EB7">
            <w:pPr>
              <w:jc w:val="center"/>
              <w:rPr>
                <w:szCs w:val="24"/>
              </w:rPr>
            </w:pPr>
          </w:p>
        </w:tc>
      </w:tr>
    </w:tbl>
    <w:p w14:paraId="1810415F" w14:textId="717DABC2" w:rsidR="000B455B" w:rsidRDefault="000B455B" w:rsidP="000B455B"/>
    <w:p w14:paraId="7D331919" w14:textId="2C56DC61" w:rsidR="00CB6B91" w:rsidRDefault="00CB6B91" w:rsidP="000B455B"/>
    <w:p w14:paraId="1B51384D" w14:textId="15E9AB41" w:rsidR="00CB6B91" w:rsidRDefault="00CB6B91" w:rsidP="000B455B"/>
    <w:p w14:paraId="405BA8D1" w14:textId="1768295A" w:rsidR="00CB6B91" w:rsidRDefault="00CB6B91" w:rsidP="000B455B"/>
    <w:p w14:paraId="120729DB" w14:textId="37DD66F7" w:rsidR="00CB6B91" w:rsidRDefault="00CB6B91" w:rsidP="000B455B"/>
    <w:p w14:paraId="43C3D23E" w14:textId="4A657D6C" w:rsidR="00CB6B91" w:rsidRDefault="00CB6B91" w:rsidP="000B455B"/>
    <w:p w14:paraId="32897D77" w14:textId="5F9F00EA" w:rsidR="00CB6B91" w:rsidRDefault="00CB6B91" w:rsidP="000B455B"/>
    <w:p w14:paraId="71F3042B" w14:textId="12F3ECCB" w:rsidR="00CB6B91" w:rsidRDefault="00CB6B91" w:rsidP="000B455B"/>
    <w:p w14:paraId="32CFF54C" w14:textId="6F023E5F" w:rsidR="00CB6B91" w:rsidRDefault="00CB6B91" w:rsidP="000B455B"/>
    <w:p w14:paraId="441FB394" w14:textId="0F39125B" w:rsidR="00CB6B91" w:rsidRDefault="00CB6B91" w:rsidP="000B455B"/>
    <w:p w14:paraId="1B81DB84" w14:textId="5FCF221B" w:rsidR="00CB6B91" w:rsidRDefault="00CB6B91" w:rsidP="000B455B"/>
    <w:p w14:paraId="285C46C4" w14:textId="7713A8B0" w:rsidR="00CB6B91" w:rsidRDefault="00CB6B91" w:rsidP="000B455B"/>
    <w:p w14:paraId="483B5FD3" w14:textId="28D7ED1B" w:rsidR="00CB6B91" w:rsidRDefault="00CB6B91" w:rsidP="000B455B"/>
    <w:p w14:paraId="7EAFFB46" w14:textId="40479DCC" w:rsidR="00CB6B91" w:rsidRDefault="00CB6B91" w:rsidP="000B455B"/>
    <w:p w14:paraId="167D6E35" w14:textId="64F9AB96" w:rsidR="00CB6B91" w:rsidRDefault="00CB6B91" w:rsidP="000B455B"/>
    <w:p w14:paraId="0222D6E1" w14:textId="0D9A2865" w:rsidR="00CB6B91" w:rsidRDefault="00CB6B91" w:rsidP="000B455B"/>
    <w:p w14:paraId="6E0C5613" w14:textId="77777777" w:rsidR="00CB6B91" w:rsidRDefault="00CB6B91" w:rsidP="000B455B">
      <w:pPr>
        <w:rPr>
          <w:b/>
          <w:bCs/>
        </w:rPr>
      </w:pPr>
    </w:p>
    <w:p w14:paraId="679B7E35" w14:textId="48A854EE" w:rsidR="000B455B" w:rsidRDefault="000B455B" w:rsidP="000B455B">
      <w:pPr>
        <w:rPr>
          <w:rFonts w:ascii="Times New Roman" w:hAnsi="Times New Roman" w:cs="Times New Roman"/>
          <w:b/>
          <w:bCs/>
        </w:rPr>
      </w:pPr>
    </w:p>
    <w:p w14:paraId="7CCF0DEB" w14:textId="2E55D9F2" w:rsidR="00F64655" w:rsidRDefault="00F64655" w:rsidP="000B455B">
      <w:pPr>
        <w:rPr>
          <w:rFonts w:ascii="Times New Roman" w:hAnsi="Times New Roman" w:cs="Times New Roman"/>
          <w:b/>
          <w:bCs/>
        </w:rPr>
      </w:pPr>
    </w:p>
    <w:p w14:paraId="2E96F035" w14:textId="6F89EC2E" w:rsidR="00F64655" w:rsidRDefault="00F64655" w:rsidP="000B455B">
      <w:pPr>
        <w:rPr>
          <w:rFonts w:ascii="Times New Roman" w:hAnsi="Times New Roman" w:cs="Times New Roman"/>
          <w:b/>
          <w:bCs/>
        </w:rPr>
      </w:pPr>
    </w:p>
    <w:p w14:paraId="19369321" w14:textId="5DB71A8D" w:rsidR="00F64655" w:rsidRDefault="00F64655" w:rsidP="000B455B">
      <w:pPr>
        <w:rPr>
          <w:rFonts w:ascii="Times New Roman" w:hAnsi="Times New Roman" w:cs="Times New Roman"/>
          <w:b/>
          <w:bCs/>
        </w:rPr>
      </w:pPr>
    </w:p>
    <w:p w14:paraId="54826A97" w14:textId="2A3FF4C1" w:rsidR="00F64655" w:rsidRDefault="00F64655" w:rsidP="000B455B">
      <w:pPr>
        <w:rPr>
          <w:rFonts w:ascii="Times New Roman" w:hAnsi="Times New Roman" w:cs="Times New Roman"/>
          <w:b/>
          <w:bCs/>
        </w:rPr>
      </w:pPr>
    </w:p>
    <w:p w14:paraId="729D580B" w14:textId="77777777" w:rsidR="00F64655" w:rsidRDefault="00F64655" w:rsidP="000B455B">
      <w:pPr>
        <w:rPr>
          <w:rFonts w:ascii="Times New Roman" w:hAnsi="Times New Roman" w:cs="Times New Roman"/>
          <w:b/>
          <w:bCs/>
        </w:rPr>
      </w:pPr>
    </w:p>
    <w:p w14:paraId="75858A05" w14:textId="77777777" w:rsidR="000B455B" w:rsidRDefault="000B455B" w:rsidP="000B455B">
      <w:pPr>
        <w:tabs>
          <w:tab w:val="left" w:pos="7875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A51F8">
        <w:rPr>
          <w:rFonts w:ascii="Times New Roman" w:hAnsi="Times New Roman" w:cs="Times New Roman"/>
          <w:b/>
          <w:bCs/>
        </w:rPr>
        <w:t>References</w:t>
      </w:r>
    </w:p>
    <w:p w14:paraId="03D94F94" w14:textId="77777777" w:rsidR="0042451C" w:rsidRDefault="0042451C" w:rsidP="00BE354A">
      <w:pPr>
        <w:pStyle w:val="NormalWeb"/>
        <w:spacing w:before="0" w:beforeAutospacing="0"/>
        <w:ind w:left="475" w:hanging="475"/>
      </w:pPr>
    </w:p>
    <w:p w14:paraId="02DE03A3" w14:textId="009C363C" w:rsidR="0042451C" w:rsidRPr="008C13CF" w:rsidRDefault="0042451C" w:rsidP="00BE354A">
      <w:pPr>
        <w:pStyle w:val="NormalWeb"/>
        <w:spacing w:before="0" w:beforeAutospacing="0"/>
        <w:ind w:left="475" w:hanging="475"/>
      </w:pPr>
      <w:r>
        <w:lastRenderedPageBreak/>
        <w:t xml:space="preserve">Buhl EH, </w:t>
      </w:r>
      <w:proofErr w:type="spellStart"/>
      <w:r>
        <w:t>Szilagyi</w:t>
      </w:r>
      <w:proofErr w:type="spellEnd"/>
      <w:r>
        <w:t xml:space="preserve"> T, </w:t>
      </w:r>
      <w:proofErr w:type="spellStart"/>
      <w:r>
        <w:t>Halasy</w:t>
      </w:r>
      <w:proofErr w:type="spellEnd"/>
      <w:r>
        <w:t xml:space="preserve"> K, Somogyi P. 1996. Physiological properties of anatomically identified basket and bistratified cells in the CA1 area of the rat hippocampus in vitro. Hippocampus 6:294– 305.</w:t>
      </w:r>
    </w:p>
    <w:p w14:paraId="169DD45B" w14:textId="77777777" w:rsidR="000B455B" w:rsidRDefault="000B455B"/>
    <w:sectPr w:rsidR="000B455B" w:rsidSect="00A66C15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70C47" w14:textId="77777777" w:rsidR="0049034E" w:rsidRDefault="0049034E" w:rsidP="00F67D54">
      <w:pPr>
        <w:spacing w:after="0" w:line="240" w:lineRule="auto"/>
      </w:pPr>
      <w:r>
        <w:separator/>
      </w:r>
    </w:p>
  </w:endnote>
  <w:endnote w:type="continuationSeparator" w:id="0">
    <w:p w14:paraId="3EF943D4" w14:textId="77777777" w:rsidR="0049034E" w:rsidRDefault="0049034E" w:rsidP="00F6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2F839" w14:textId="5955A076" w:rsidR="009217BA" w:rsidRDefault="009217BA">
    <w:pPr>
      <w:pStyle w:val="Footer"/>
    </w:pPr>
    <w:r>
      <w:ptab w:relativeTo="margin" w:alignment="center" w:leader="none"/>
    </w:r>
    <w:r>
      <w:t>Canfield et al. (February 2021)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CC14C" w14:textId="77777777" w:rsidR="0049034E" w:rsidRDefault="0049034E" w:rsidP="00F67D54">
      <w:pPr>
        <w:spacing w:after="0" w:line="240" w:lineRule="auto"/>
      </w:pPr>
      <w:r>
        <w:separator/>
      </w:r>
    </w:p>
  </w:footnote>
  <w:footnote w:type="continuationSeparator" w:id="0">
    <w:p w14:paraId="7680F35B" w14:textId="77777777" w:rsidR="0049034E" w:rsidRDefault="0049034E" w:rsidP="00F6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5F"/>
    <w:rsid w:val="00003434"/>
    <w:rsid w:val="000363A4"/>
    <w:rsid w:val="00072EB7"/>
    <w:rsid w:val="00082E1A"/>
    <w:rsid w:val="000B455B"/>
    <w:rsid w:val="00104E86"/>
    <w:rsid w:val="00190927"/>
    <w:rsid w:val="001B7CB1"/>
    <w:rsid w:val="002473D4"/>
    <w:rsid w:val="002C0937"/>
    <w:rsid w:val="002E3B22"/>
    <w:rsid w:val="003012F9"/>
    <w:rsid w:val="00314EA5"/>
    <w:rsid w:val="00315ED0"/>
    <w:rsid w:val="0042451C"/>
    <w:rsid w:val="00463F3E"/>
    <w:rsid w:val="0049034E"/>
    <w:rsid w:val="004E10F7"/>
    <w:rsid w:val="00573245"/>
    <w:rsid w:val="005861E9"/>
    <w:rsid w:val="005A48DA"/>
    <w:rsid w:val="00624351"/>
    <w:rsid w:val="006C3499"/>
    <w:rsid w:val="0078265A"/>
    <w:rsid w:val="007A6DBD"/>
    <w:rsid w:val="00867F79"/>
    <w:rsid w:val="00915D4D"/>
    <w:rsid w:val="009217BA"/>
    <w:rsid w:val="009B1ABE"/>
    <w:rsid w:val="009D1682"/>
    <w:rsid w:val="009D5A49"/>
    <w:rsid w:val="009E7C13"/>
    <w:rsid w:val="00A61DAE"/>
    <w:rsid w:val="00A64CBA"/>
    <w:rsid w:val="00A66C15"/>
    <w:rsid w:val="00AC69F8"/>
    <w:rsid w:val="00B3330A"/>
    <w:rsid w:val="00B71E24"/>
    <w:rsid w:val="00BE2E30"/>
    <w:rsid w:val="00BE354A"/>
    <w:rsid w:val="00BE5A8A"/>
    <w:rsid w:val="00C05C2E"/>
    <w:rsid w:val="00C44370"/>
    <w:rsid w:val="00C74A11"/>
    <w:rsid w:val="00CB2EDC"/>
    <w:rsid w:val="00CB6B91"/>
    <w:rsid w:val="00D44A5F"/>
    <w:rsid w:val="00D92106"/>
    <w:rsid w:val="00E4298B"/>
    <w:rsid w:val="00EA2AF8"/>
    <w:rsid w:val="00EA535A"/>
    <w:rsid w:val="00EE3F9F"/>
    <w:rsid w:val="00EF05ED"/>
    <w:rsid w:val="00F64655"/>
    <w:rsid w:val="00F67D54"/>
    <w:rsid w:val="00FB28DE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45955"/>
  <w15:chartTrackingRefBased/>
  <w15:docId w15:val="{905342AE-BFE6-4B6B-A832-A398BD9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DefaultParagraphFont"/>
    <w:rsid w:val="00D44A5F"/>
  </w:style>
  <w:style w:type="paragraph" w:styleId="Header">
    <w:name w:val="header"/>
    <w:basedOn w:val="Normal"/>
    <w:link w:val="Head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54"/>
  </w:style>
  <w:style w:type="paragraph" w:styleId="Footer">
    <w:name w:val="footer"/>
    <w:basedOn w:val="Normal"/>
    <w:link w:val="Foot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54"/>
  </w:style>
  <w:style w:type="paragraph" w:styleId="ListParagraph">
    <w:name w:val="List Paragraph"/>
    <w:basedOn w:val="Normal"/>
    <w:uiPriority w:val="34"/>
    <w:qFormat/>
    <w:rsid w:val="00B33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harChar">
    <w:name w:val="Text Char Char"/>
    <w:basedOn w:val="Normal"/>
    <w:rsid w:val="002473D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SMHeading">
    <w:name w:val="SM Heading"/>
    <w:basedOn w:val="Heading1"/>
    <w:qFormat/>
    <w:rsid w:val="004E10F7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4E10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C56E6-4DA6-46B8-AAA7-451DE656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pete canfield</cp:lastModifiedBy>
  <cp:revision>4</cp:revision>
  <dcterms:created xsi:type="dcterms:W3CDTF">2021-02-07T20:43:00Z</dcterms:created>
  <dcterms:modified xsi:type="dcterms:W3CDTF">2021-02-07T21:28:00Z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c9a0b28b-d83b-3aab-873c-9a7b5e1ab32f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