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method.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All three methods lose recall on text queries. Surprisingly, LSH, which does not learn from the data, loses the most (up to 0.40 recall@100, against 0.17 for PQ and 0.19 for HNSW). We show that two properties of text queries cause this: their top-k neighbours have very similar scores, and they are far from every image. Based on this, we improve each method for text queries: caption-guided edges raise HNSW text recall on COCO from 0.88 to 0.95 with no extra memory, query-weighted OPQ raises PQ text recall from 0.51 to 0.79, and centring each modality separately roughly doubles LSH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return approximate results in exchange for much faster search or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So an index built from images receives queries from a region it has never seen. The VIBE benchmark (Jääsaari et al., 2026) shows that ANN methods become much slower on such out-of-distribution (OOD) queries, and graph methods such as RoarGraph (Chen et al., 2024) and OOD-DiskANN (Jaiswal et al., 2022) use training queries to handle them. We study the problem across three different ANN families.</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the default index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which only needs an XOR and a bit count, so it is much cheaper than a distance on float values. A 512-bit binary vector takes 64 bytes, 32 times less than the 2,048-byte float vector. We use LSH + linear search (FAISS IndexLSH)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A random hyperplane separates two vectors with a probability equal to the angle between them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w:t>
      </w:r>
      <m:oMath>
        <m:sSub>
          <m:sSubPr/>
          <m:e>
            <m:r>
              <m:t xml:space="preserve">D</m:t>
            </m:r>
          </m:e>
          <m:sub>
            <m:r>
              <m:t xml:space="preserve">H</m:t>
            </m:r>
          </m:sub>
        </m:sSub>
      </m:oMath>
      <w:r>
        <w:t xml:space="preserv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If the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for a text query the offset </w:t>
      </w:r>
      <m:oMath>
        <m:sSub>
          <m:sSubPr/>
          <m:e>
            <m:r>
              <m:t xml:space="preserve">μ</m:t>
            </m:r>
          </m:e>
          <m:sub>
            <m:r>
              <m:t xml:space="preserve">T</m:t>
            </m:r>
          </m:sub>
        </m:sSub>
        <m:r>
          <m:t xml:space="preserve">−</m:t>
        </m:r>
        <m:sSub>
          <m:sSubPr/>
          <m:e>
            <m:r>
              <m:t xml:space="preserve">μ</m:t>
            </m:r>
          </m:e>
          <m:sub>
            <m:r>
              <m:t xml:space="preserve">I</m:t>
            </m:r>
          </m:sub>
        </m:sSub>
      </m:oMath>
      <w:r>
        <w:t xml:space="preserve"> then dominates, so the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w:t>
      </w:r>
      <m:oMath>
        <m:r>
          <m:t xml:space="preserve">0.01·</m:t>
        </m:r>
        <m:acc>
          <m:accPr>
            <m:chr m:val="̅"/>
          </m:accPr>
          <m:e>
            <m:r>
              <m:t xml:space="preserve">λ</m:t>
            </m:r>
          </m:e>
        </m:acc>
      </m:oMath>
      <w:r>
        <w:t xml:space="preserve"> to its eigenvalues for stability, and combine it with the OPQ rotation. The extra query cost is one </w:t>
      </w:r>
      <m:oMath>
        <m:r>
          <m:t xml:space="preserve">512×512</m:t>
        </m:r>
      </m:oMath>
      <w:r>
        <w:t xml:space="preserve"> matrix–vector product. The idea is related to ScaNN's anisotropic loss (Guo et al., 2020), which also weights quantization error by its effect on inner products.</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(i) starting the search from the true neighbours of the most similar training captions, and (ii) inserting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(Douze et al., 2024) and fixed random seeds.</w:t>
      </w:r>
    </w:p>
    <w:p>
      <w:pPr>
        <w:spacing w:after="120" w:line="264"/>
        <w:jc w:val="both"/>
      </w:pPr>
      <w:r>
        <w:rPr>
          <w:b/>
          <w:bCs/>
        </w:rPr>
        <w:t xml:space="preserve">Metrics.</w:t>
      </w:r>
      <w:r>
        <w:t xml:space="preserve"> Our main metric is recall@100 (Eq. 1). We also report recall@10,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71775"/>
            <wp:effectExtent t="0" r="0" b="0" l="0"/>
            <wp:docPr id="2"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28925"/>
            <wp:effectExtent t="0" r="0" b="0" l="0"/>
            <wp:docPr id="3"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4"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4,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5"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(Spearman correlation up to +0.51; Figure 5, right), and 39% of COCO text queries get recall below 0.5, against 3% of image queries.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4.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On LAION at </w:t>
      </w:r>
      <m:oMath>
        <m:r>
          <m:t xml:space="preserve">ef=100</m:t>
        </m:r>
      </m:oMath>
      <w:r>
        <w:t xml:space="preserve">, text queries even compute 1% </w:t>
      </w:r>
      <w:r>
        <w:rPr>
          <w:i/>
          <w:iCs/>
        </w:rPr>
        <w:t xml:space="preserve">fewer</w:t>
      </w:r>
      <w:r>
        <w:t xml:space="preserve"> similarities than image queries, yet lose 19 points of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6" name="fig7_hnsw_build_params.png" descr="HNSW recall@100 against graph degree $M$ (left) and $efConstruction$ (right), COC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3"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6).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7" name="fig8_scaling.png" descr="Recall@100 against database size (random LAION subsets). Left: HNSW; right: PQ."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4"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7), HNSW's gap at </w:t>
      </w:r>
      <m:oMath>
        <m:r>
          <m:t xml:space="preserve">ef=100</m:t>
        </m:r>
      </m:oMath>
      <w:r>
        <w:t xml:space="preserve"> grows from 0.10 at 10k images to 0.13 at 100k and 0.19 at 1M, as (P2) predicts: a longer search path has more chances to stop in the wrong place. PQ's gap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8" name="fig9_hnsw_fixes.png" descr="HNSW variants: recall@100 against QPS (dashed: text queries). Purple: caption-guided edges (lighter shades use fewer training captions); green: caption entry poin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8). On COCO, text recall rises from 0.88 to 0.95, Δ drops by 60%, and image recall also rises slightly. At equal recall the modified graph is 1.5 times faster (text recall 0.947 at 2,170 QPS against 0.948 at 1,470 QPS). On LAION, text recall improves by 7 points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9" name="fig10_pq_fixes.png" descr="PQ variants: recall@100 against code size, for image queries (top) and text queries (botto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PQ variants: recall@100 against code size, for image queries (top) and text queries (bottom).</w:t>
      </w:r>
    </w:p>
    <w:p>
      <w:pPr>
        <w:spacing w:after="120" w:line="264"/>
        <w:jc w:val="both"/>
      </w:pPr>
      <w:r>
        <w:t xml:space="preserve">The OPQ rotation is necessary (Table 10, Figure 9).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0" name="fig11_lsh_variants.png" descr="LSH variants: text-query recall@100 against code length. Median thresholds and image-mean centring overlap."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7"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LSH variants: text-query recall@100 against code length. Median thresholds and image-mean centring overlap.</w:t>
      </w:r>
    </w:p>
    <w:p>
      <w:pPr>
        <w:spacing w:after="120" w:line="264"/>
        <w:jc w:val="both"/>
      </w:pPr>
      <w:r>
        <w:t xml:space="preserve">Figure 10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1" name="fig12_examples.png" descr="Three COCO test captions. Rows: exact top-10, HNSW ($ef$ = 100), HNSW with caption-guided edges, PQ ($M$ = 64). Green border: in the exact top-10; red: not."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8"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11 shows three COCO captions chosen to show the two kinds of failure.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11).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2026-10-15T08:43:00.950Z</dcterms:created>
  <dcterms:modified xsi:type="dcterms:W3CDTF">2026-10-15T08:43:00.950Z</dcterms:modified>
</cp:coreProperties>
</file>

<file path=docProps/custom.xml><?xml version="1.0" encoding="utf-8"?>
<Properties xmlns="http://schemas.openxmlformats.org/officeDocument/2006/custom-properties" xmlns:vt="http://schemas.openxmlformats.org/officeDocument/2006/docPropsVTypes"/>
</file>