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200"/>
            <w:shd w:fill="123F6B" w:val="clear"/>
          </w:tcPr>
          <w:p>
            <w:pPr>
              <w:spacing w:before="160" w:after="160" w:line="276" w:lineRule="auto"/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TECHNICAL DOCUMENTATION / DOCUMENTACIÓN TÉCNICA</w:t>
            </w:r>
          </w:p>
        </w:tc>
      </w:tr>
    </w:tbl>
    <w:p/>
    <w:p>
      <w:pPr>
        <w:pStyle w:val="DocTitle"/>
        <w:spacing w:before="160" w:after="40" w:line="276" w:lineRule="auto"/>
        <w:jc w:val="center"/>
      </w:pPr>
      <w:r>
        <w:t>TORNEO GAMER DB</w:t>
      </w:r>
    </w:p>
    <w:p>
      <w:pPr>
        <w:pStyle w:val="DocSub"/>
        <w:spacing w:before="0" w:after="40" w:line="276" w:lineRule="auto"/>
        <w:jc w:val="center"/>
      </w:pPr>
      <w:r>
        <w:t>Bilingual project dossier for repository reviewers, instructors, and hiring audiences.</w:t>
      </w:r>
    </w:p>
    <w:p>
      <w:pPr>
        <w:pStyle w:val="DocSub"/>
        <w:spacing w:before="0" w:after="240" w:line="276" w:lineRule="auto"/>
        <w:jc w:val="center"/>
      </w:pPr>
      <w:r>
        <w:t>Dossier bilingüe para revisores del repositorio, docentes y audiencias técnicas.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5100"/>
            <w:shd w:fill="D8E4EC" w:val="clear"/>
            <w:vAlign w:val="center"/>
          </w:tcPr>
          <w:p>
            <w:pPr>
              <w:spacing w:before="40" w:after="40" w:line="264" w:lineRule="auto"/>
            </w:pPr>
            <w:r>
              <w:rPr>
                <w:b/>
                <w:color w:val="123F6B"/>
              </w:rPr>
              <w:t>Project / Proyecto</w:t>
            </w:r>
          </w:p>
        </w:tc>
        <w:tc>
          <w:tcPr>
            <w:tcW w:type="dxa" w:w="5100"/>
            <w:shd w:fill="F9FBFC" w:val="clear"/>
            <w:vAlign w:val="center"/>
          </w:tcPr>
          <w:p>
            <w:pPr>
              <w:spacing w:before="40" w:after="40" w:line="264" w:lineRule="auto"/>
            </w:pPr>
            <w:r>
              <w:rPr>
                <w:color w:val="1F2937"/>
                <w:sz w:val="20"/>
              </w:rPr>
              <w:t>Oracle SQL and PL/SQL database for competitive eSports tournament management.</w:t>
            </w:r>
          </w:p>
        </w:tc>
      </w:tr>
      <w:tr>
        <w:tc>
          <w:tcPr>
            <w:tcW w:type="dxa" w:w="5100"/>
            <w:shd w:fill="D8E4EC" w:val="clear"/>
            <w:vAlign w:val="center"/>
          </w:tcPr>
          <w:p>
            <w:pPr>
              <w:spacing w:before="40" w:after="40" w:line="264" w:lineRule="auto"/>
            </w:pPr>
            <w:r>
              <w:rPr>
                <w:b/>
                <w:color w:val="123F6B"/>
              </w:rPr>
              <w:t>Repository focus / Enfoque</w:t>
            </w:r>
          </w:p>
        </w:tc>
        <w:tc>
          <w:tcPr>
            <w:tcW w:type="dxa" w:w="5100"/>
            <w:shd w:fill="F9FBFC" w:val="clear"/>
            <w:vAlign w:val="center"/>
          </w:tcPr>
          <w:p>
            <w:pPr>
              <w:spacing w:before="40" w:after="40" w:line="264" w:lineRule="auto"/>
            </w:pPr>
            <w:r>
              <w:rPr>
                <w:color w:val="1F2937"/>
                <w:sz w:val="20"/>
              </w:rPr>
              <w:t>Schema design, seed data, analytical SQL, stored PL/SQL logic, and bilingual documentation.</w:t>
            </w:r>
          </w:p>
        </w:tc>
      </w:tr>
      <w:tr>
        <w:tc>
          <w:tcPr>
            <w:tcW w:type="dxa" w:w="5100"/>
            <w:shd w:fill="D8E4EC" w:val="clear"/>
            <w:vAlign w:val="center"/>
          </w:tcPr>
          <w:p>
            <w:pPr>
              <w:spacing w:before="40" w:after="40" w:line="264" w:lineRule="auto"/>
            </w:pPr>
            <w:r>
              <w:rPr>
                <w:b/>
                <w:color w:val="123F6B"/>
              </w:rPr>
              <w:t>Author of the system / Autor del sistema</w:t>
            </w:r>
          </w:p>
        </w:tc>
        <w:tc>
          <w:tcPr>
            <w:tcW w:type="dxa" w:w="5100"/>
            <w:shd w:fill="F9FBFC" w:val="clear"/>
            <w:vAlign w:val="center"/>
          </w:tcPr>
          <w:p>
            <w:pPr>
              <w:spacing w:before="40" w:after="40" w:line="264" w:lineRule="auto"/>
            </w:pPr>
            <w:r>
              <w:rPr>
                <w:color w:val="1F2937"/>
                <w:sz w:val="20"/>
              </w:rPr>
              <w:t>pbenavides908</w:t>
            </w:r>
          </w:p>
        </w:tc>
      </w:tr>
      <w:tr>
        <w:tc>
          <w:tcPr>
            <w:tcW w:type="dxa" w:w="5100"/>
            <w:shd w:fill="D8E4EC" w:val="clear"/>
            <w:vAlign w:val="center"/>
          </w:tcPr>
          <w:p>
            <w:pPr>
              <w:spacing w:before="40" w:after="40" w:line="264" w:lineRule="auto"/>
            </w:pPr>
            <w:r>
              <w:rPr>
                <w:b/>
                <w:color w:val="123F6B"/>
              </w:rPr>
              <w:t>Document purpose / Propósito</w:t>
            </w:r>
          </w:p>
        </w:tc>
        <w:tc>
          <w:tcPr>
            <w:tcW w:type="dxa" w:w="5100"/>
            <w:shd w:fill="F9FBFC" w:val="clear"/>
            <w:vAlign w:val="center"/>
          </w:tcPr>
          <w:p>
            <w:pPr>
              <w:spacing w:before="40" w:after="40" w:line="264" w:lineRule="auto"/>
            </w:pPr>
            <w:r>
              <w:rPr>
                <w:color w:val="1F2937"/>
                <w:sz w:val="20"/>
              </w:rPr>
              <w:t>Make the project understandable without opening every script individually.</w:t>
            </w:r>
          </w:p>
        </w:tc>
      </w:tr>
      <w:tr>
        <w:tc>
          <w:tcPr>
            <w:tcW w:type="dxa" w:w="5100"/>
            <w:shd w:fill="D8E4EC" w:val="clear"/>
            <w:vAlign w:val="center"/>
          </w:tcPr>
          <w:p>
            <w:pPr>
              <w:spacing w:before="40" w:after="40" w:line="264" w:lineRule="auto"/>
            </w:pPr>
            <w:r>
              <w:rPr>
                <w:b/>
                <w:color w:val="123F6B"/>
              </w:rPr>
              <w:t>Audience / Audiencia</w:t>
            </w:r>
          </w:p>
        </w:tc>
        <w:tc>
          <w:tcPr>
            <w:tcW w:type="dxa" w:w="5100"/>
            <w:shd w:fill="F9FBFC" w:val="clear"/>
            <w:vAlign w:val="center"/>
          </w:tcPr>
          <w:p>
            <w:pPr>
              <w:spacing w:before="40" w:after="40" w:line="264" w:lineRule="auto"/>
            </w:pPr>
            <w:r>
              <w:rPr>
                <w:color w:val="1F2937"/>
                <w:sz w:val="20"/>
              </w:rPr>
              <w:t>Instructors, recruiters, peers, and technical reviewers.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200"/>
            <w:shd w:fill="EEF4F8" w:val="clear"/>
            <w:tcBorders>
              <w:left w:val="single" w:sz="8" w:color="D8E4EC"/>
              <w:top w:val="single" w:sz="10" w:color="0E7490"/>
              <w:right w:val="single" w:sz="8" w:color="D8E4EC"/>
              <w:bottom w:val="single" w:sz="10" w:color="0E7490"/>
            </w:tcBorders>
          </w:tcPr>
          <w:p>
            <w:pPr>
              <w:spacing w:before="80" w:after="40" w:line="276" w:lineRule="auto"/>
            </w:pPr>
            <w:r>
              <w:rPr>
                <w:rFonts w:ascii="Aptos" w:hAnsi="Aptos" w:eastAsia="Aptos"/>
                <w:b/>
                <w:color w:val="123F6B"/>
                <w:sz w:val="20"/>
              </w:rPr>
              <w:t>Executive abstract / Resumen ejecutivo</w:t>
            </w:r>
          </w:p>
          <w:p>
            <w:pPr>
              <w:pStyle w:val="BoxText"/>
              <w:spacing w:before="40" w:after="80" w:line="276" w:lineRule="auto"/>
            </w:pPr>
            <w:r>
              <w:rPr>
                <w:rFonts w:ascii="Aptos" w:hAnsi="Aptos" w:eastAsia="Aptos"/>
                <w:b w:val="0"/>
                <w:sz w:val="20"/>
              </w:rPr>
              <w:t xml:space="preserve">This document explains what the project does, how the scripts are organized, how the data model works, which SQL and PL/SQL capabilities are demonstrated, and what future improvements are recommended. </w:t>
            </w:r>
            <w:r>
              <w:rPr>
                <w:rFonts w:ascii="Aptos" w:hAnsi="Aptos" w:eastAsia="Aptos"/>
                <w:sz w:val="20"/>
              </w:rPr>
              <w:t>It is designed to let any reviewer understand the repository quickly and with confidence.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200"/>
            <w:shd w:fill="F4F8FB" w:val="clear"/>
            <w:tcBorders>
              <w:left w:val="single" w:sz="22" w:color="123F6B"/>
              <w:top w:val="nil"/>
              <w:right w:val="nil"/>
              <w:bottom w:val="nil"/>
            </w:tcBorders>
          </w:tcPr>
          <w:p>
            <w:pPr>
              <w:spacing w:before="80" w:after="20" w:line="276" w:lineRule="auto"/>
            </w:pPr>
            <w:r>
              <w:rPr>
                <w:rFonts w:ascii="Aptos Display" w:hAnsi="Aptos Display" w:eastAsia="Aptos Display"/>
                <w:b/>
                <w:color w:val="123F6B"/>
                <w:sz w:val="30"/>
              </w:rPr>
              <w:t>1. Purpose, audience, and review path</w:t>
            </w:r>
          </w:p>
          <w:p>
            <w:pPr>
              <w:spacing w:before="0" w:after="60" w:line="276" w:lineRule="auto"/>
            </w:pPr>
            <w:r>
              <w:rPr>
                <w:rFonts w:ascii="Aptos" w:hAnsi="Aptos"/>
                <w:color w:val="5B6778"/>
                <w:sz w:val="18"/>
              </w:rPr>
              <w:t>Final bilingual technical reference for the docs folder.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0"/>
        <w:gridCol w:w="4620"/>
      </w:tblGrid>
      <w:tr>
        <w:tc>
          <w:tcPr>
            <w:tcW w:type="dxa" w:w="5100"/>
            <w:shd w:fill="123F6B" w:val="clear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  <w:color w:val="FFFFFF"/>
                <w:sz w:val="21"/>
              </w:rPr>
              <w:t>Propósito (ES)</w:t>
            </w:r>
          </w:p>
        </w:tc>
        <w:tc>
          <w:tcPr>
            <w:tcW w:type="dxa" w:w="5100"/>
            <w:shd w:fill="0E7490" w:val="clear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  <w:color w:val="FFFFFF"/>
                <w:sz w:val="21"/>
              </w:rPr>
              <w:t>Purpose (EN)</w:t>
            </w:r>
          </w:p>
        </w:tc>
      </w:tr>
      <w:tr>
        <w:tc>
          <w:tcPr>
            <w:tcW w:type="dxa" w:w="5100"/>
            <w:shd w:fill="FBFCFD" w:val="clear"/>
            <w:vAlign w:val="top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color w:val="1F2937"/>
                <w:sz w:val="20"/>
              </w:rPr>
            </w:r>
            <w:r>
              <w:rPr>
                <w:rFonts w:ascii="Aptos" w:hAnsi="Aptos"/>
                <w:color w:val="1F2937"/>
                <w:sz w:val="20"/>
              </w:rPr>
              <w:t>Este documento está pensado para acompañar el repositorio y reducir la fricción de revisión.</w:t>
            </w:r>
          </w:p>
          <w:p>
            <w:pPr>
              <w:spacing w:before="0" w:after="20" w:line="276" w:lineRule="auto"/>
            </w:pP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Explica qué problema resuelve el sistema.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Resume la arquitectura de scripts.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Describe el modelo de datos y las reglas de negocio.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Muestra qué capacidades SQL y PL/SQL se evidencian.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Deja clara la ruta de mejora del proyecto.</w:t>
            </w:r>
          </w:p>
        </w:tc>
        <w:tc>
          <w:tcPr>
            <w:tcW w:type="dxa" w:w="5100"/>
            <w:shd w:fill="FBFCFD" w:val="clear"/>
            <w:vAlign w:val="top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color w:val="1F2937"/>
                <w:sz w:val="20"/>
              </w:rPr>
            </w:r>
            <w:r>
              <w:rPr>
                <w:rFonts w:ascii="Aptos" w:hAnsi="Aptos"/>
                <w:color w:val="1F2937"/>
                <w:sz w:val="20"/>
              </w:rPr>
              <w:t>This document is meant to sit inside the repository and make technical review faster.</w:t>
            </w:r>
          </w:p>
          <w:p>
            <w:pPr>
              <w:spacing w:before="0" w:after="20" w:line="276" w:lineRule="auto"/>
            </w:pP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It explains the problem solved by the system.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It summarizes the script architecture.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It describes the data model and the main business rules.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It shows which SQL and PL/SQL capabilities are demonstrated.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It clarifies the future evolution path of the project.</w:t>
            </w:r>
          </w:p>
        </w:tc>
      </w:tr>
    </w:tbl>
    <w:p/>
    <w:p>
      <w:pPr>
        <w:pStyle w:val="SubHead"/>
        <w:spacing w:before="80" w:after="60" w:line="276" w:lineRule="auto"/>
      </w:pPr>
      <w:r>
        <w:t>Quick reference / Referencia rápida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2835"/>
        <w:gridCol w:w="5159"/>
      </w:tblGrid>
      <w:tr>
        <w:tc>
          <w:tcPr>
            <w:tcW w:type="dxa" w:w="34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4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Value / Valor</w:t>
            </w:r>
          </w:p>
        </w:tc>
        <w:tc>
          <w:tcPr>
            <w:tcW w:type="dxa" w:w="34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Why it matters / Importancia</w:t>
            </w:r>
          </w:p>
        </w:tc>
      </w:tr>
      <w:tr>
        <w:tc>
          <w:tcPr>
            <w:tcW w:type="dxa" w:w="1531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Project</w:t>
            </w:r>
          </w:p>
        </w:tc>
        <w:tc>
          <w:tcPr>
            <w:tcW w:type="dxa" w:w="2835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Torneo Gamer DB</w:t>
            </w:r>
          </w:p>
        </w:tc>
        <w:tc>
          <w:tcPr>
            <w:tcW w:type="dxa" w:w="5159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Clear technical identity for portfolio review</w:t>
            </w:r>
          </w:p>
        </w:tc>
      </w:tr>
      <w:tr>
        <w:tc>
          <w:tcPr>
            <w:tcW w:type="dxa" w:w="1531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Database</w:t>
            </w:r>
          </w:p>
        </w:tc>
        <w:tc>
          <w:tcPr>
            <w:tcW w:type="dxa" w:w="2835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Oracle</w:t>
            </w:r>
          </w:p>
        </w:tc>
        <w:tc>
          <w:tcPr>
            <w:tcW w:type="dxa" w:w="5159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Matches course scope and PL/SQL focus</w:t>
            </w:r>
          </w:p>
        </w:tc>
      </w:tr>
      <w:tr>
        <w:tc>
          <w:tcPr>
            <w:tcW w:type="dxa" w:w="1531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Author</w:t>
            </w:r>
          </w:p>
        </w:tc>
        <w:tc>
          <w:tcPr>
            <w:tcW w:type="dxa" w:w="2835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pbenavides908</w:t>
            </w:r>
          </w:p>
        </w:tc>
        <w:tc>
          <w:tcPr>
            <w:tcW w:type="dxa" w:w="5159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System ownership and authorship</w:t>
            </w:r>
          </w:p>
        </w:tc>
      </w:tr>
      <w:tr>
        <w:tc>
          <w:tcPr>
            <w:tcW w:type="dxa" w:w="1531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Primary folder</w:t>
            </w:r>
          </w:p>
        </w:tc>
        <w:tc>
          <w:tcPr>
            <w:tcW w:type="dxa" w:w="2835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/sql and /docs</w:t>
            </w:r>
          </w:p>
        </w:tc>
        <w:tc>
          <w:tcPr>
            <w:tcW w:type="dxa" w:w="5159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Code plus explanatory material</w:t>
            </w:r>
          </w:p>
        </w:tc>
      </w:tr>
      <w:tr>
        <w:tc>
          <w:tcPr>
            <w:tcW w:type="dxa" w:w="1531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Deliverables</w:t>
            </w:r>
          </w:p>
        </w:tc>
        <w:tc>
          <w:tcPr>
            <w:tcW w:type="dxa" w:w="2835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Schema, data, queries, PL/SQL, PDF</w:t>
            </w:r>
          </w:p>
        </w:tc>
        <w:tc>
          <w:tcPr>
            <w:tcW w:type="dxa" w:w="5159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Complete project package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200"/>
            <w:shd w:fill="F4F8FB" w:val="clear"/>
            <w:tcBorders>
              <w:left w:val="single" w:sz="22" w:color="123F6B"/>
              <w:top w:val="nil"/>
              <w:right w:val="nil"/>
              <w:bottom w:val="nil"/>
            </w:tcBorders>
          </w:tcPr>
          <w:p>
            <w:pPr>
              <w:spacing w:before="80" w:after="20" w:line="276" w:lineRule="auto"/>
            </w:pPr>
            <w:r>
              <w:rPr>
                <w:rFonts w:ascii="Aptos Display" w:hAnsi="Aptos Display" w:eastAsia="Aptos Display"/>
                <w:b/>
                <w:color w:val="123F6B"/>
                <w:sz w:val="30"/>
              </w:rPr>
              <w:t>2. Repository structure and execution order</w:t>
            </w:r>
          </w:p>
          <w:p>
            <w:pPr>
              <w:spacing w:before="0" w:after="60" w:line="276" w:lineRule="auto"/>
            </w:pPr>
            <w:r>
              <w:rPr>
                <w:rFonts w:ascii="Aptos" w:hAnsi="Aptos"/>
                <w:color w:val="5B6778"/>
                <w:sz w:val="18"/>
              </w:rPr>
              <w:t>The repository is intentionally organized in a review-friendly sequence.</w:t>
            </w:r>
          </w:p>
        </w:tc>
      </w:tr>
    </w:tbl>
    <w:p/>
    <w:p>
      <w:pPr>
        <w:pStyle w:val="SubHead"/>
        <w:spacing w:before="80" w:after="60" w:line="276" w:lineRule="auto"/>
      </w:pPr>
      <w:r>
        <w:t>Repository map / Mapa del repositorio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288"/>
        <w:gridCol w:w="3855"/>
      </w:tblGrid>
      <w:tr>
        <w:tc>
          <w:tcPr>
            <w:tcW w:type="dxa" w:w="34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4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4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Reviewer expectation</w:t>
            </w:r>
          </w:p>
        </w:tc>
      </w:tr>
      <w:tr>
        <w:tc>
          <w:tcPr>
            <w:tcW w:type="dxa" w:w="2381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/sql/01_schema.sql</w:t>
            </w:r>
          </w:p>
        </w:tc>
        <w:tc>
          <w:tcPr>
            <w:tcW w:type="dxa" w:w="3288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Tables, keys, checks, and relationships</w:t>
            </w:r>
          </w:p>
        </w:tc>
        <w:tc>
          <w:tcPr>
            <w:tcW w:type="dxa" w:w="3855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Database structure creation</w:t>
            </w:r>
          </w:p>
        </w:tc>
      </w:tr>
      <w:tr>
        <w:tc>
          <w:tcPr>
            <w:tcW w:type="dxa" w:w="2381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/sql/02_data.sql</w:t>
            </w:r>
          </w:p>
        </w:tc>
        <w:tc>
          <w:tcPr>
            <w:tcW w:type="dxa" w:w="3288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Twenty sample records per table</w:t>
            </w:r>
          </w:p>
        </w:tc>
        <w:tc>
          <w:tcPr>
            <w:tcW w:type="dxa" w:w="3855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Consistent test data for demos</w:t>
            </w:r>
          </w:p>
        </w:tc>
      </w:tr>
      <w:tr>
        <w:tc>
          <w:tcPr>
            <w:tcW w:type="dxa" w:w="2381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/sql/03_queries.sql</w:t>
            </w:r>
          </w:p>
        </w:tc>
        <w:tc>
          <w:tcPr>
            <w:tcW w:type="dxa" w:w="3288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Analytical and operational SQL queries</w:t>
            </w:r>
          </w:p>
        </w:tc>
        <w:tc>
          <w:tcPr>
            <w:tcW w:type="dxa" w:w="3855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Evidence of SQL command of joins, filters, ordering, aggregates</w:t>
            </w:r>
          </w:p>
        </w:tc>
      </w:tr>
      <w:tr>
        <w:tc>
          <w:tcPr>
            <w:tcW w:type="dxa" w:w="2381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/sql/04_plsql.sql</w:t>
            </w:r>
          </w:p>
        </w:tc>
        <w:tc>
          <w:tcPr>
            <w:tcW w:type="dxa" w:w="3288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Functions, procedures, cursors, blocks</w:t>
            </w:r>
          </w:p>
        </w:tc>
        <w:tc>
          <w:tcPr>
            <w:tcW w:type="dxa" w:w="3855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Evidence of procedural database logic</w:t>
            </w:r>
          </w:p>
        </w:tc>
      </w:tr>
      <w:tr>
        <w:tc>
          <w:tcPr>
            <w:tcW w:type="dxa" w:w="2381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/docs/documentation_bilingual.pdf</w:t>
            </w:r>
          </w:p>
        </w:tc>
        <w:tc>
          <w:tcPr>
            <w:tcW w:type="dxa" w:w="3288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Bilingual documentation</w:t>
            </w:r>
          </w:p>
        </w:tc>
        <w:tc>
          <w:tcPr>
            <w:tcW w:type="dxa" w:w="3855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Fast technical understanding without opening all scripts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0"/>
        <w:gridCol w:w="4620"/>
      </w:tblGrid>
      <w:tr>
        <w:tc>
          <w:tcPr>
            <w:tcW w:type="dxa" w:w="5100"/>
            <w:shd w:fill="123F6B" w:val="clear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  <w:color w:val="FFFFFF"/>
                <w:sz w:val="21"/>
              </w:rPr>
              <w:t>Orden de ejecución (ES)</w:t>
            </w:r>
          </w:p>
        </w:tc>
        <w:tc>
          <w:tcPr>
            <w:tcW w:type="dxa" w:w="5100"/>
            <w:shd w:fill="0E7490" w:val="clear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  <w:color w:val="FFFFFF"/>
                <w:sz w:val="21"/>
              </w:rPr>
              <w:t>Execution order (EN)</w:t>
            </w:r>
          </w:p>
        </w:tc>
      </w:tr>
      <w:tr>
        <w:tc>
          <w:tcPr>
            <w:tcW w:type="dxa" w:w="5100"/>
            <w:shd w:fill="FBFCFD" w:val="clear"/>
            <w:vAlign w:val="top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color w:val="1F2937"/>
                <w:sz w:val="20"/>
              </w:rPr>
            </w:r>
            <w:r>
              <w:rPr>
                <w:rFonts w:ascii="Aptos" w:hAnsi="Aptos"/>
                <w:color w:val="1F2937"/>
                <w:sz w:val="20"/>
              </w:rPr>
              <w:t>1) Ejecutar 01_schema.sql.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2) Cargar 02_data.sql.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3) Probar 03_queries.sql.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4) Ejecutar 04_plsql.sql con SERVEROUTPUT activado.</w:t>
            </w:r>
          </w:p>
          <w:p>
            <w:pPr>
              <w:spacing w:before="0" w:after="20" w:line="276" w:lineRule="auto"/>
            </w:pP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El orden es importante porque cada capa depende de la anterior.</w:t>
            </w:r>
          </w:p>
        </w:tc>
        <w:tc>
          <w:tcPr>
            <w:tcW w:type="dxa" w:w="5100"/>
            <w:shd w:fill="FBFCFD" w:val="clear"/>
            <w:vAlign w:val="top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color w:val="1F2937"/>
                <w:sz w:val="20"/>
              </w:rPr>
            </w:r>
            <w:r>
              <w:rPr>
                <w:rFonts w:ascii="Aptos" w:hAnsi="Aptos"/>
                <w:color w:val="1F2937"/>
                <w:sz w:val="20"/>
              </w:rPr>
              <w:t>1) Run 01_schema.sql.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2) Load 02_data.sql.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3) Test 03_queries.sql.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4) Run 04_plsql.sql with SERVEROUTPUT enabled.</w:t>
            </w:r>
          </w:p>
          <w:p>
            <w:pPr>
              <w:spacing w:before="0" w:after="20" w:line="276" w:lineRule="auto"/>
            </w:pP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The order matters because each layer depends on the previous one.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200"/>
            <w:shd w:fill="F4F8FB" w:val="clear"/>
            <w:tcBorders>
              <w:left w:val="single" w:sz="22" w:color="123F6B"/>
              <w:top w:val="nil"/>
              <w:right w:val="nil"/>
              <w:bottom w:val="nil"/>
            </w:tcBorders>
          </w:tcPr>
          <w:p>
            <w:pPr>
              <w:spacing w:before="80" w:after="20" w:line="276" w:lineRule="auto"/>
            </w:pPr>
            <w:r>
              <w:rPr>
                <w:rFonts w:ascii="Aptos Display" w:hAnsi="Aptos Display" w:eastAsia="Aptos Display"/>
                <w:b/>
                <w:color w:val="123F6B"/>
                <w:sz w:val="30"/>
              </w:rPr>
              <w:t>3. Data model and business meaning</w:t>
            </w:r>
          </w:p>
          <w:p>
            <w:pPr>
              <w:spacing w:before="0" w:after="60" w:line="276" w:lineRule="auto"/>
            </w:pPr>
            <w:r>
              <w:rPr>
                <w:rFonts w:ascii="Aptos" w:hAnsi="Aptos"/>
                <w:color w:val="5B6778"/>
                <w:sz w:val="18"/>
              </w:rPr>
              <w:t>A compact relational model focused on competitive tournament management.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0"/>
        <w:gridCol w:w="4620"/>
      </w:tblGrid>
      <w:tr>
        <w:tc>
          <w:tcPr>
            <w:tcW w:type="dxa" w:w="5100"/>
            <w:shd w:fill="123F6B" w:val="clear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  <w:color w:val="FFFFFF"/>
                <w:sz w:val="21"/>
              </w:rPr>
              <w:t>Visión del modelo (ES)</w:t>
            </w:r>
          </w:p>
        </w:tc>
        <w:tc>
          <w:tcPr>
            <w:tcW w:type="dxa" w:w="5100"/>
            <w:shd w:fill="0E7490" w:val="clear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  <w:color w:val="FFFFFF"/>
                <w:sz w:val="21"/>
              </w:rPr>
              <w:t>Model overview (EN)</w:t>
            </w:r>
          </w:p>
        </w:tc>
      </w:tr>
      <w:tr>
        <w:tc>
          <w:tcPr>
            <w:tcW w:type="dxa" w:w="5100"/>
            <w:shd w:fill="FBFCFD" w:val="clear"/>
            <w:vAlign w:val="top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color w:val="1F2937"/>
                <w:sz w:val="20"/>
              </w:rPr>
            </w:r>
            <w:r>
              <w:rPr>
                <w:rFonts w:ascii="Aptos" w:hAnsi="Aptos"/>
                <w:color w:val="1F2937"/>
                <w:sz w:val="20"/>
              </w:rPr>
              <w:t>El modelo está diseñado para representar un circuito competitivo sencillo pero realista. Cada tabla cumple una responsabilidad clara y evita duplicar información crítica.</w:t>
            </w:r>
          </w:p>
          <w:p>
            <w:pPr>
              <w:spacing w:before="0" w:after="20" w:line="276" w:lineRule="auto"/>
            </w:pP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Se prioriza la legibilidad académica: nombres claros, relaciones explícitas y reglas de integridad fáciles de revisar.</w:t>
            </w:r>
          </w:p>
        </w:tc>
        <w:tc>
          <w:tcPr>
            <w:tcW w:type="dxa" w:w="5100"/>
            <w:shd w:fill="FBFCFD" w:val="clear"/>
            <w:vAlign w:val="top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color w:val="1F2937"/>
                <w:sz w:val="20"/>
              </w:rPr>
            </w:r>
            <w:r>
              <w:rPr>
                <w:rFonts w:ascii="Aptos" w:hAnsi="Aptos"/>
                <w:color w:val="1F2937"/>
                <w:sz w:val="20"/>
              </w:rPr>
              <w:t>The model is designed to represent a compact but realistic competitive circuit. Each table has a clear responsibility and avoids duplicating critical information.</w:t>
            </w:r>
          </w:p>
          <w:p>
            <w:pPr>
              <w:spacing w:before="0" w:after="20" w:line="276" w:lineRule="auto"/>
            </w:pP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Academic readability is prioritized: clear names, explicit relationships, and integrity rules that are easy to review.</w:t>
            </w:r>
          </w:p>
        </w:tc>
      </w:tr>
    </w:tbl>
    <w:p/>
    <w:p>
      <w:pPr>
        <w:pStyle w:val="SubHead"/>
        <w:spacing w:before="80" w:after="60" w:line="276" w:lineRule="auto"/>
      </w:pPr>
      <w:r>
        <w:t>Entities / Entidades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75"/>
        <w:gridCol w:w="4649"/>
      </w:tblGrid>
      <w:tr>
        <w:tc>
          <w:tcPr>
            <w:tcW w:type="dxa" w:w="34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4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Core role</w:t>
            </w:r>
          </w:p>
        </w:tc>
        <w:tc>
          <w:tcPr>
            <w:tcW w:type="dxa" w:w="34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1701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jugadores</w:t>
            </w:r>
          </w:p>
        </w:tc>
        <w:tc>
          <w:tcPr>
            <w:tcW w:type="dxa" w:w="3175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Stores player identities and profile data</w:t>
            </w:r>
          </w:p>
        </w:tc>
        <w:tc>
          <w:tcPr>
            <w:tcW w:type="dxa" w:w="4649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jugador_id, nickname, correo, pais, estado</w:t>
            </w:r>
          </w:p>
        </w:tc>
      </w:tr>
      <w:tr>
        <w:tc>
          <w:tcPr>
            <w:tcW w:type="dxa" w:w="1701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equipos</w:t>
            </w:r>
          </w:p>
        </w:tc>
        <w:tc>
          <w:tcPr>
            <w:tcW w:type="dxa" w:w="3175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Stores teams and captain reference</w:t>
            </w:r>
          </w:p>
        </w:tc>
        <w:tc>
          <w:tcPr>
            <w:tcW w:type="dxa" w:w="4649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equipo_id, nombre_equipo, tag_equipo, capitan_jugador_id</w:t>
            </w:r>
          </w:p>
        </w:tc>
      </w:tr>
      <w:tr>
        <w:tc>
          <w:tcPr>
            <w:tcW w:type="dxa" w:w="1701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jugadores_equipos</w:t>
            </w:r>
          </w:p>
        </w:tc>
        <w:tc>
          <w:tcPr>
            <w:tcW w:type="dxa" w:w="3175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Bridge between players and teams</w:t>
            </w:r>
          </w:p>
        </w:tc>
        <w:tc>
          <w:tcPr>
            <w:tcW w:type="dxa" w:w="4649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jugador_id, equipo_id, rol, fecha_union, estado</w:t>
            </w:r>
          </w:p>
        </w:tc>
      </w:tr>
      <w:tr>
        <w:tc>
          <w:tcPr>
            <w:tcW w:type="dxa" w:w="1701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torneos</w:t>
            </w:r>
          </w:p>
        </w:tc>
        <w:tc>
          <w:tcPr>
            <w:tcW w:type="dxa" w:w="3175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Stores event definitions</w:t>
            </w:r>
          </w:p>
        </w:tc>
        <w:tc>
          <w:tcPr>
            <w:tcW w:type="dxa" w:w="4649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torneo_id, juego, plataforma, premio_total, estado</w:t>
            </w:r>
          </w:p>
        </w:tc>
      </w:tr>
      <w:tr>
        <w:tc>
          <w:tcPr>
            <w:tcW w:type="dxa" w:w="1701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partidas</w:t>
            </w:r>
          </w:p>
        </w:tc>
        <w:tc>
          <w:tcPr>
            <w:tcW w:type="dxa" w:w="3175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Stores scheduled or completed matches</w:t>
            </w:r>
          </w:p>
        </w:tc>
        <w:tc>
          <w:tcPr>
            <w:tcW w:type="dxa" w:w="4649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torneo_id, equipo_local_id, equipo_visitante_id, ganador_equipo_id</w:t>
            </w:r>
          </w:p>
        </w:tc>
      </w:tr>
      <w:tr>
        <w:tc>
          <w:tcPr>
            <w:tcW w:type="dxa" w:w="1701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puntajes</w:t>
            </w:r>
          </w:p>
        </w:tc>
        <w:tc>
          <w:tcPr>
            <w:tcW w:type="dxa" w:w="3175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Stores performance outcomes per team in a match</w:t>
            </w:r>
          </w:p>
        </w:tc>
        <w:tc>
          <w:tcPr>
            <w:tcW w:type="dxa" w:w="4649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partida_id, equipo_id, puntos_obtenidos, kills, resultado</w:t>
            </w:r>
          </w:p>
        </w:tc>
      </w:tr>
    </w:tbl>
    <w:p/>
    <w:p>
      <w:pPr>
        <w:pStyle w:val="SubHead"/>
        <w:spacing w:before="80" w:after="60" w:line="276" w:lineRule="auto"/>
      </w:pPr>
      <w:r>
        <w:t>Relationship logic / Lógica relacional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1531"/>
        <w:gridCol w:w="1304"/>
        <w:gridCol w:w="4989"/>
      </w:tblGrid>
      <w:tr>
        <w:tc>
          <w:tcPr>
            <w:tcW w:type="dxa" w:w="255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55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55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55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531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jugadores</w:t>
            </w:r>
          </w:p>
        </w:tc>
        <w:tc>
          <w:tcPr>
            <w:tcW w:type="dxa" w:w="1531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equipos</w:t>
            </w:r>
          </w:p>
        </w:tc>
        <w:tc>
          <w:tcPr>
            <w:tcW w:type="dxa" w:w="1304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N:M</w:t>
            </w:r>
          </w:p>
        </w:tc>
        <w:tc>
          <w:tcPr>
            <w:tcW w:type="dxa" w:w="4989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A player may join teams through jugadores_equipos</w:t>
            </w:r>
          </w:p>
        </w:tc>
      </w:tr>
      <w:tr>
        <w:tc>
          <w:tcPr>
            <w:tcW w:type="dxa" w:w="1531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equipos</w:t>
            </w:r>
          </w:p>
        </w:tc>
        <w:tc>
          <w:tcPr>
            <w:tcW w:type="dxa" w:w="1531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jugadores</w:t>
            </w:r>
          </w:p>
        </w:tc>
        <w:tc>
          <w:tcPr>
            <w:tcW w:type="dxa" w:w="1304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1:1 reference</w:t>
            </w:r>
          </w:p>
        </w:tc>
        <w:tc>
          <w:tcPr>
            <w:tcW w:type="dxa" w:w="4989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Each team may declare one captain</w:t>
            </w:r>
          </w:p>
        </w:tc>
      </w:tr>
      <w:tr>
        <w:tc>
          <w:tcPr>
            <w:tcW w:type="dxa" w:w="1531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torneos</w:t>
            </w:r>
          </w:p>
        </w:tc>
        <w:tc>
          <w:tcPr>
            <w:tcW w:type="dxa" w:w="1531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partidas</w:t>
            </w:r>
          </w:p>
        </w:tc>
        <w:tc>
          <w:tcPr>
            <w:tcW w:type="dxa" w:w="1304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1:N</w:t>
            </w:r>
          </w:p>
        </w:tc>
        <w:tc>
          <w:tcPr>
            <w:tcW w:type="dxa" w:w="4989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One tournament can contain many matches</w:t>
            </w:r>
          </w:p>
        </w:tc>
      </w:tr>
      <w:tr>
        <w:tc>
          <w:tcPr>
            <w:tcW w:type="dxa" w:w="1531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partidas</w:t>
            </w:r>
          </w:p>
        </w:tc>
        <w:tc>
          <w:tcPr>
            <w:tcW w:type="dxa" w:w="1531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equipos</w:t>
            </w:r>
          </w:p>
        </w:tc>
        <w:tc>
          <w:tcPr>
            <w:tcW w:type="dxa" w:w="1304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N:1 x2</w:t>
            </w:r>
          </w:p>
        </w:tc>
        <w:tc>
          <w:tcPr>
            <w:tcW w:type="dxa" w:w="4989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Each match references local and visiting team</w:t>
            </w:r>
          </w:p>
        </w:tc>
      </w:tr>
      <w:tr>
        <w:tc>
          <w:tcPr>
            <w:tcW w:type="dxa" w:w="1531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partidas</w:t>
            </w:r>
          </w:p>
        </w:tc>
        <w:tc>
          <w:tcPr>
            <w:tcW w:type="dxa" w:w="1531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puntajes</w:t>
            </w:r>
          </w:p>
        </w:tc>
        <w:tc>
          <w:tcPr>
            <w:tcW w:type="dxa" w:w="1304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1:N</w:t>
            </w:r>
          </w:p>
        </w:tc>
        <w:tc>
          <w:tcPr>
            <w:tcW w:type="dxa" w:w="4989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A match can store score entries per team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200"/>
            <w:shd w:fill="F4F8FB" w:val="clear"/>
            <w:tcBorders>
              <w:left w:val="single" w:sz="22" w:color="123F6B"/>
              <w:top w:val="nil"/>
              <w:right w:val="nil"/>
              <w:bottom w:val="nil"/>
            </w:tcBorders>
          </w:tcPr>
          <w:p>
            <w:pPr>
              <w:spacing w:before="80" w:after="20" w:line="276" w:lineRule="auto"/>
            </w:pPr>
            <w:r>
              <w:rPr>
                <w:rFonts w:ascii="Aptos Display" w:hAnsi="Aptos Display" w:eastAsia="Aptos Display"/>
                <w:b/>
                <w:color w:val="123F6B"/>
                <w:sz w:val="30"/>
              </w:rPr>
              <w:t>4. Integrity rules and validation criteria</w:t>
            </w:r>
          </w:p>
          <w:p>
            <w:pPr>
              <w:spacing w:before="0" w:after="60" w:line="276" w:lineRule="auto"/>
            </w:pPr>
            <w:r>
              <w:rPr>
                <w:rFonts w:ascii="Aptos" w:hAnsi="Aptos"/>
                <w:color w:val="5B6778"/>
                <w:sz w:val="18"/>
              </w:rPr>
              <w:t>Constraints were selected to keep the model simple, demonstrable, and reliable.</w:t>
            </w:r>
          </w:p>
        </w:tc>
      </w:tr>
    </w:tbl>
    <w:p/>
    <w:p>
      <w:pPr>
        <w:pStyle w:val="SubHead"/>
        <w:spacing w:before="80" w:after="60" w:line="276" w:lineRule="auto"/>
      </w:pPr>
      <w:r>
        <w:t>Examples of implemented constraints / Ejemplos de restricciones implementadas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75"/>
        <w:gridCol w:w="4535"/>
      </w:tblGrid>
      <w:tr>
        <w:tc>
          <w:tcPr>
            <w:tcW w:type="dxa" w:w="34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4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Applied in</w:t>
            </w:r>
          </w:p>
        </w:tc>
        <w:tc>
          <w:tcPr>
            <w:tcW w:type="dxa" w:w="34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701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Primary keys</w:t>
            </w:r>
          </w:p>
        </w:tc>
        <w:tc>
          <w:tcPr>
            <w:tcW w:type="dxa" w:w="3175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All tables</w:t>
            </w:r>
          </w:p>
        </w:tc>
        <w:tc>
          <w:tcPr>
            <w:tcW w:type="dxa" w:w="4535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Guarantee record uniqueness</w:t>
            </w:r>
          </w:p>
        </w:tc>
      </w:tr>
      <w:tr>
        <w:tc>
          <w:tcPr>
            <w:tcW w:type="dxa" w:w="1701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Unique keys</w:t>
            </w:r>
          </w:p>
        </w:tc>
        <w:tc>
          <w:tcPr>
            <w:tcW w:type="dxa" w:w="3175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nickname, correo, team names, tags</w:t>
            </w:r>
          </w:p>
        </w:tc>
        <w:tc>
          <w:tcPr>
            <w:tcW w:type="dxa" w:w="4535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Prevent duplicate identities and labels</w:t>
            </w:r>
          </w:p>
        </w:tc>
      </w:tr>
      <w:tr>
        <w:tc>
          <w:tcPr>
            <w:tcW w:type="dxa" w:w="1701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Check constraints</w:t>
            </w:r>
          </w:p>
        </w:tc>
        <w:tc>
          <w:tcPr>
            <w:tcW w:type="dxa" w:w="3175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estado, género, modalidad, resultados</w:t>
            </w:r>
          </w:p>
        </w:tc>
        <w:tc>
          <w:tcPr>
            <w:tcW w:type="dxa" w:w="4535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Restrict valid domain values</w:t>
            </w:r>
          </w:p>
        </w:tc>
      </w:tr>
      <w:tr>
        <w:tc>
          <w:tcPr>
            <w:tcW w:type="dxa" w:w="1701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Foreign keys</w:t>
            </w:r>
          </w:p>
        </w:tc>
        <w:tc>
          <w:tcPr>
            <w:tcW w:type="dxa" w:w="3175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Bridge, matches, scores</w:t>
            </w:r>
          </w:p>
        </w:tc>
        <w:tc>
          <w:tcPr>
            <w:tcW w:type="dxa" w:w="4535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Preserve relational consistency</w:t>
            </w:r>
          </w:p>
        </w:tc>
      </w:tr>
      <w:tr>
        <w:tc>
          <w:tcPr>
            <w:tcW w:type="dxa" w:w="1701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Identity columns</w:t>
            </w:r>
          </w:p>
        </w:tc>
        <w:tc>
          <w:tcPr>
            <w:tcW w:type="dxa" w:w="3175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Main identifiers</w:t>
            </w:r>
          </w:p>
        </w:tc>
        <w:tc>
          <w:tcPr>
            <w:tcW w:type="dxa" w:w="4535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Simplify inserts and improve demo readability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0"/>
        <w:gridCol w:w="4620"/>
      </w:tblGrid>
      <w:tr>
        <w:tc>
          <w:tcPr>
            <w:tcW w:type="dxa" w:w="5100"/>
            <w:shd w:fill="123F6B" w:val="clear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  <w:color w:val="FFFFFF"/>
                <w:sz w:val="21"/>
              </w:rPr>
              <w:t>Controles de negocio (ES)</w:t>
            </w:r>
          </w:p>
        </w:tc>
        <w:tc>
          <w:tcPr>
            <w:tcW w:type="dxa" w:w="5100"/>
            <w:shd w:fill="0E7490" w:val="clear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  <w:color w:val="FFFFFF"/>
                <w:sz w:val="21"/>
              </w:rPr>
              <w:t>Business controls (EN)</w:t>
            </w:r>
          </w:p>
        </w:tc>
      </w:tr>
      <w:tr>
        <w:tc>
          <w:tcPr>
            <w:tcW w:type="dxa" w:w="5100"/>
            <w:shd w:fill="FBFCFD" w:val="clear"/>
            <w:vAlign w:val="top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color w:val="1F2937"/>
                <w:sz w:val="20"/>
              </w:rPr>
            </w:r>
            <w:r>
              <w:rPr>
                <w:rFonts w:ascii="Aptos" w:hAnsi="Aptos"/>
                <w:color w:val="1F2937"/>
                <w:sz w:val="20"/>
              </w:rPr>
              <w:t>• Los equipos no pueden enfrentarse a sí mismos en una partida.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Los puntajes y métricas numéricas no pueden ser negativos.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Los estados se limitan a catálogos controlados.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La tabla puente evita duplicados de combinación jugador-equipo.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El capitán del equipo se referencia desde la entidad jugadores.</w:t>
            </w:r>
          </w:p>
        </w:tc>
        <w:tc>
          <w:tcPr>
            <w:tcW w:type="dxa" w:w="5100"/>
            <w:shd w:fill="FBFCFD" w:val="clear"/>
            <w:vAlign w:val="top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color w:val="1F2937"/>
                <w:sz w:val="20"/>
              </w:rPr>
            </w:r>
            <w:r>
              <w:rPr>
                <w:rFonts w:ascii="Aptos" w:hAnsi="Aptos"/>
                <w:color w:val="1F2937"/>
                <w:sz w:val="20"/>
              </w:rPr>
              <w:t>• Teams cannot play against themselves in the same match.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Scores and numeric metrics cannot be negative.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Status fields are restricted to controlled value sets.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The bridge table avoids duplicate player-team combinations.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The team captain is referenced from the jugadores entity.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200"/>
            <w:shd w:fill="F4F8FB" w:val="clear"/>
            <w:tcBorders>
              <w:left w:val="single" w:sz="22" w:color="123F6B"/>
              <w:top w:val="nil"/>
              <w:right w:val="nil"/>
              <w:bottom w:val="nil"/>
            </w:tcBorders>
          </w:tcPr>
          <w:p>
            <w:pPr>
              <w:spacing w:before="80" w:after="20" w:line="276" w:lineRule="auto"/>
            </w:pPr>
            <w:r>
              <w:rPr>
                <w:rFonts w:ascii="Aptos Display" w:hAnsi="Aptos Display" w:eastAsia="Aptos Display"/>
                <w:b/>
                <w:color w:val="123F6B"/>
                <w:sz w:val="30"/>
              </w:rPr>
              <w:t>5. Sample data strategy</w:t>
            </w:r>
          </w:p>
          <w:p>
            <w:pPr>
              <w:spacing w:before="0" w:after="60" w:line="276" w:lineRule="auto"/>
            </w:pPr>
            <w:r>
              <w:rPr>
                <w:rFonts w:ascii="Aptos" w:hAnsi="Aptos"/>
                <w:color w:val="5B6778"/>
                <w:sz w:val="18"/>
              </w:rPr>
              <w:t>The seed layer is intentionally broad enough to power reporting and procedure tests.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0"/>
        <w:gridCol w:w="4620"/>
      </w:tblGrid>
      <w:tr>
        <w:tc>
          <w:tcPr>
            <w:tcW w:type="dxa" w:w="5100"/>
            <w:shd w:fill="123F6B" w:val="clear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  <w:color w:val="FFFFFF"/>
                <w:sz w:val="21"/>
              </w:rPr>
              <w:t>Estrategia de carga (ES)</w:t>
            </w:r>
          </w:p>
        </w:tc>
        <w:tc>
          <w:tcPr>
            <w:tcW w:type="dxa" w:w="5100"/>
            <w:shd w:fill="0E7490" w:val="clear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  <w:color w:val="FFFFFF"/>
                <w:sz w:val="21"/>
              </w:rPr>
              <w:t>Seeding strategy (EN)</w:t>
            </w:r>
          </w:p>
        </w:tc>
      </w:tr>
      <w:tr>
        <w:tc>
          <w:tcPr>
            <w:tcW w:type="dxa" w:w="5100"/>
            <w:shd w:fill="FBFCFD" w:val="clear"/>
            <w:vAlign w:val="top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color w:val="1F2937"/>
                <w:sz w:val="20"/>
              </w:rPr>
            </w:r>
            <w:r>
              <w:rPr>
                <w:rFonts w:ascii="Aptos" w:hAnsi="Aptos"/>
                <w:color w:val="1F2937"/>
                <w:sz w:val="20"/>
              </w:rPr>
              <w:t>Se incorporan veinte registros por tabla principal para garantizar variedad suficiente en pruebas, consultas y procedimientos.</w:t>
            </w:r>
          </w:p>
          <w:p>
            <w:pPr>
              <w:spacing w:before="0" w:after="20" w:line="276" w:lineRule="auto"/>
            </w:pP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El objetivo no es simular producción, sino entregar un entorno consistente para demostrar relaciones, filtros, agregaciones y lógica procedural.</w:t>
            </w:r>
          </w:p>
        </w:tc>
        <w:tc>
          <w:tcPr>
            <w:tcW w:type="dxa" w:w="5100"/>
            <w:shd w:fill="FBFCFD" w:val="clear"/>
            <w:vAlign w:val="top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color w:val="1F2937"/>
                <w:sz w:val="20"/>
              </w:rPr>
            </w:r>
            <w:r>
              <w:rPr>
                <w:rFonts w:ascii="Aptos" w:hAnsi="Aptos"/>
                <w:color w:val="1F2937"/>
                <w:sz w:val="20"/>
              </w:rPr>
              <w:t>Twenty records are inserted per main table to provide enough variation for testing, querying, and procedure execution.</w:t>
            </w:r>
          </w:p>
          <w:p>
            <w:pPr>
              <w:spacing w:before="0" w:after="20" w:line="276" w:lineRule="auto"/>
            </w:pP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The purpose is not to mimic production volume, but to provide a consistent environment to demonstrate relationships, filtering, aggregation, and procedural logic.</w:t>
            </w:r>
          </w:p>
        </w:tc>
      </w:tr>
    </w:tbl>
    <w:p/>
    <w:p>
      <w:pPr>
        <w:pStyle w:val="SubHead"/>
        <w:spacing w:before="80" w:after="60" w:line="276" w:lineRule="auto"/>
      </w:pPr>
      <w:r>
        <w:t>Coverage provided by sample data / Cobertura entregada por los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742"/>
        <w:gridCol w:w="4195"/>
      </w:tblGrid>
      <w:tr>
        <w:tc>
          <w:tcPr>
            <w:tcW w:type="dxa" w:w="34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4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34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Why it helps</w:t>
            </w:r>
          </w:p>
        </w:tc>
      </w:tr>
      <w:tr>
        <w:tc>
          <w:tcPr>
            <w:tcW w:type="dxa" w:w="1474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Players</w:t>
            </w:r>
          </w:p>
        </w:tc>
        <w:tc>
          <w:tcPr>
            <w:tcW w:type="dxa" w:w="3742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Different countries, genders, and active statuses</w:t>
            </w:r>
          </w:p>
        </w:tc>
        <w:tc>
          <w:tcPr>
            <w:tcW w:type="dxa" w:w="4195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Allows segmentation and identity checks</w:t>
            </w:r>
          </w:p>
        </w:tc>
      </w:tr>
      <w:tr>
        <w:tc>
          <w:tcPr>
            <w:tcW w:type="dxa" w:w="1474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Teams</w:t>
            </w:r>
          </w:p>
        </w:tc>
        <w:tc>
          <w:tcPr>
            <w:tcW w:type="dxa" w:w="3742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Distinct tags, rankings, and captains</w:t>
            </w:r>
          </w:p>
        </w:tc>
        <w:tc>
          <w:tcPr>
            <w:tcW w:type="dxa" w:w="4195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Supports joins and reporting</w:t>
            </w:r>
          </w:p>
        </w:tc>
      </w:tr>
      <w:tr>
        <w:tc>
          <w:tcPr>
            <w:tcW w:type="dxa" w:w="1474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Tournaments</w:t>
            </w:r>
          </w:p>
        </w:tc>
        <w:tc>
          <w:tcPr>
            <w:tcW w:type="dxa" w:w="3742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Multiple games, platforms, states, and prize ranges</w:t>
            </w:r>
          </w:p>
        </w:tc>
        <w:tc>
          <w:tcPr>
            <w:tcW w:type="dxa" w:w="4195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Supports categorization and status updates</w:t>
            </w:r>
          </w:p>
        </w:tc>
      </w:tr>
      <w:tr>
        <w:tc>
          <w:tcPr>
            <w:tcW w:type="dxa" w:w="1474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Matches</w:t>
            </w:r>
          </w:p>
        </w:tc>
        <w:tc>
          <w:tcPr>
            <w:tcW w:type="dxa" w:w="3742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Played and scheduled states</w:t>
            </w:r>
          </w:p>
        </w:tc>
        <w:tc>
          <w:tcPr>
            <w:tcW w:type="dxa" w:w="4195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Supports result registration and pending views</w:t>
            </w:r>
          </w:p>
        </w:tc>
      </w:tr>
      <w:tr>
        <w:tc>
          <w:tcPr>
            <w:tcW w:type="dxa" w:w="1474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Scores</w:t>
            </w:r>
          </w:p>
        </w:tc>
        <w:tc>
          <w:tcPr>
            <w:tcW w:type="dxa" w:w="3742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Pairwise performance metrics</w:t>
            </w:r>
          </w:p>
        </w:tc>
        <w:tc>
          <w:tcPr>
            <w:tcW w:type="dxa" w:w="4195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Supports ranking, sums, averages, and winner analysis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200"/>
            <w:shd w:fill="F4F8FB" w:val="clear"/>
            <w:tcBorders>
              <w:left w:val="single" w:sz="22" w:color="123F6B"/>
              <w:top w:val="nil"/>
              <w:right w:val="nil"/>
              <w:bottom w:val="nil"/>
            </w:tcBorders>
          </w:tcPr>
          <w:p>
            <w:pPr>
              <w:spacing w:before="80" w:after="20" w:line="276" w:lineRule="auto"/>
            </w:pPr>
            <w:r>
              <w:rPr>
                <w:rFonts w:ascii="Aptos Display" w:hAnsi="Aptos Display" w:eastAsia="Aptos Display"/>
                <w:b/>
                <w:color w:val="123F6B"/>
                <w:sz w:val="30"/>
              </w:rPr>
              <w:t>6. SQL query layer</w:t>
            </w:r>
          </w:p>
          <w:p>
            <w:pPr>
              <w:spacing w:before="0" w:after="60" w:line="276" w:lineRule="auto"/>
            </w:pPr>
            <w:r>
              <w:rPr>
                <w:rFonts w:ascii="Aptos" w:hAnsi="Aptos"/>
                <w:color w:val="5B6778"/>
                <w:sz w:val="18"/>
              </w:rPr>
              <w:t>A reviewer should quickly see both operational and analytical querying ability.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0"/>
        <w:gridCol w:w="4620"/>
      </w:tblGrid>
      <w:tr>
        <w:tc>
          <w:tcPr>
            <w:tcW w:type="dxa" w:w="5100"/>
            <w:shd w:fill="123F6B" w:val="clear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  <w:color w:val="FFFFFF"/>
                <w:sz w:val="21"/>
              </w:rPr>
              <w:t>Qué demuestra la capa SQL (ES)</w:t>
            </w:r>
          </w:p>
        </w:tc>
        <w:tc>
          <w:tcPr>
            <w:tcW w:type="dxa" w:w="5100"/>
            <w:shd w:fill="0E7490" w:val="clear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  <w:color w:val="FFFFFF"/>
                <w:sz w:val="21"/>
              </w:rPr>
              <w:t>What the SQL layer demonstrates (EN)</w:t>
            </w:r>
          </w:p>
        </w:tc>
      </w:tr>
      <w:tr>
        <w:tc>
          <w:tcPr>
            <w:tcW w:type="dxa" w:w="5100"/>
            <w:shd w:fill="FBFCFD" w:val="clear"/>
            <w:vAlign w:val="top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color w:val="1F2937"/>
                <w:sz w:val="20"/>
              </w:rPr>
            </w:r>
            <w:r>
              <w:rPr>
                <w:rFonts w:ascii="Aptos" w:hAnsi="Aptos"/>
                <w:color w:val="1F2937"/>
                <w:sz w:val="20"/>
              </w:rPr>
              <w:t>La colección de consultas fue pensada para enseñar dominio de SELECT, JOIN, filtros, ORDER BY, GROUP BY y uso de TO_CHAR para salidas más profesionales.</w:t>
            </w:r>
          </w:p>
          <w:p>
            <w:pPr>
              <w:spacing w:before="0" w:after="20" w:line="276" w:lineRule="auto"/>
            </w:pP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Se incluyen consultas operativas (listar, buscar, revisar estados) y consultas analíticas (ranking, promedios, conteos y acumulados).</w:t>
            </w:r>
          </w:p>
        </w:tc>
        <w:tc>
          <w:tcPr>
            <w:tcW w:type="dxa" w:w="5100"/>
            <w:shd w:fill="FBFCFD" w:val="clear"/>
            <w:vAlign w:val="top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color w:val="1F2937"/>
                <w:sz w:val="20"/>
              </w:rPr>
            </w:r>
            <w:r>
              <w:rPr>
                <w:rFonts w:ascii="Aptos" w:hAnsi="Aptos"/>
                <w:color w:val="1F2937"/>
                <w:sz w:val="20"/>
              </w:rPr>
              <w:t>The query collection was designed to show command of SELECT, JOIN, filtering, ORDER BY, GROUP BY, and TO_CHAR for more polished output.</w:t>
            </w:r>
          </w:p>
          <w:p>
            <w:pPr>
              <w:spacing w:before="0" w:after="20" w:line="276" w:lineRule="auto"/>
            </w:pP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It includes operational queries (listing, searching, state checks) and analytical queries (rankings, averages, counts, and totals).</w:t>
            </w:r>
          </w:p>
        </w:tc>
      </w:tr>
    </w:tbl>
    <w:p/>
    <w:p>
      <w:pPr>
        <w:pStyle w:val="SubHead"/>
        <w:spacing w:before="80" w:after="60" w:line="276" w:lineRule="auto"/>
      </w:pPr>
      <w:r>
        <w:t>Representative SQL scenarios / Escenarios SQL representativos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2835"/>
        <w:gridCol w:w="4706"/>
      </w:tblGrid>
      <w:tr>
        <w:tc>
          <w:tcPr>
            <w:tcW w:type="dxa" w:w="34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Query family</w:t>
            </w:r>
          </w:p>
        </w:tc>
        <w:tc>
          <w:tcPr>
            <w:tcW w:type="dxa" w:w="34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Example objective</w:t>
            </w:r>
          </w:p>
        </w:tc>
        <w:tc>
          <w:tcPr>
            <w:tcW w:type="dxa" w:w="34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Skills demonstrated</w:t>
            </w:r>
          </w:p>
        </w:tc>
      </w:tr>
      <w:tr>
        <w:tc>
          <w:tcPr>
            <w:tcW w:type="dxa" w:w="1871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Roster views</w:t>
            </w:r>
          </w:p>
        </w:tc>
        <w:tc>
          <w:tcPr>
            <w:tcW w:type="dxa" w:w="2835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List players with teams and roles</w:t>
            </w:r>
          </w:p>
        </w:tc>
        <w:tc>
          <w:tcPr>
            <w:tcW w:type="dxa" w:w="4706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Join chain, readable aliases</w:t>
            </w:r>
          </w:p>
        </w:tc>
      </w:tr>
      <w:tr>
        <w:tc>
          <w:tcPr>
            <w:tcW w:type="dxa" w:w="1871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Tournament views</w:t>
            </w:r>
          </w:p>
        </w:tc>
        <w:tc>
          <w:tcPr>
            <w:tcW w:type="dxa" w:w="2835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Show tournaments with formatted dates and prizes</w:t>
            </w:r>
          </w:p>
        </w:tc>
        <w:tc>
          <w:tcPr>
            <w:tcW w:type="dxa" w:w="4706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TO_CHAR, ordering, presentation</w:t>
            </w:r>
          </w:p>
        </w:tc>
      </w:tr>
      <w:tr>
        <w:tc>
          <w:tcPr>
            <w:tcW w:type="dxa" w:w="1871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Match monitoring</w:t>
            </w:r>
          </w:p>
        </w:tc>
        <w:tc>
          <w:tcPr>
            <w:tcW w:type="dxa" w:w="2835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Identify played vs scheduled matches</w:t>
            </w:r>
          </w:p>
        </w:tc>
        <w:tc>
          <w:tcPr>
            <w:tcW w:type="dxa" w:w="4706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State filtering, multi-join output</w:t>
            </w:r>
          </w:p>
        </w:tc>
      </w:tr>
      <w:tr>
        <w:tc>
          <w:tcPr>
            <w:tcW w:type="dxa" w:w="1871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Performance analytics</w:t>
            </w:r>
          </w:p>
        </w:tc>
        <w:tc>
          <w:tcPr>
            <w:tcW w:type="dxa" w:w="2835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Rank teams by points or kills</w:t>
            </w:r>
          </w:p>
        </w:tc>
        <w:tc>
          <w:tcPr>
            <w:tcW w:type="dxa" w:w="4706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SUM, GROUP BY, ordering by aggregate</w:t>
            </w:r>
          </w:p>
        </w:tc>
      </w:tr>
      <w:tr>
        <w:tc>
          <w:tcPr>
            <w:tcW w:type="dxa" w:w="1871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Portfolio-ready reports</w:t>
            </w:r>
          </w:p>
        </w:tc>
        <w:tc>
          <w:tcPr>
            <w:tcW w:type="dxa" w:w="2835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Summarize wins, averages, and participation</w:t>
            </w:r>
          </w:p>
        </w:tc>
        <w:tc>
          <w:tcPr>
            <w:tcW w:type="dxa" w:w="4706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Aggregations, left joins, null-safe logic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200"/>
            <w:shd w:fill="F4F8FB" w:val="clear"/>
            <w:tcBorders>
              <w:left w:val="single" w:sz="22" w:color="123F6B"/>
              <w:top w:val="nil"/>
              <w:right w:val="nil"/>
              <w:bottom w:val="nil"/>
            </w:tcBorders>
          </w:tcPr>
          <w:p>
            <w:pPr>
              <w:spacing w:before="80" w:after="20" w:line="276" w:lineRule="auto"/>
            </w:pPr>
            <w:r>
              <w:rPr>
                <w:rFonts w:ascii="Aptos Display" w:hAnsi="Aptos Display" w:eastAsia="Aptos Display"/>
                <w:b/>
                <w:color w:val="123F6B"/>
                <w:sz w:val="30"/>
              </w:rPr>
              <w:t>7. PL/SQL layer</w:t>
            </w:r>
          </w:p>
          <w:p>
            <w:pPr>
              <w:spacing w:before="0" w:after="60" w:line="276" w:lineRule="auto"/>
            </w:pPr>
            <w:r>
              <w:rPr>
                <w:rFonts w:ascii="Aptos" w:hAnsi="Aptos"/>
                <w:color w:val="5B6778"/>
                <w:sz w:val="18"/>
              </w:rPr>
              <w:t>Stored logic converts the repository from static schema to executable application behavior.</w:t>
            </w:r>
          </w:p>
        </w:tc>
      </w:tr>
    </w:tbl>
    <w:p/>
    <w:p>
      <w:pPr>
        <w:pStyle w:val="SubHead"/>
        <w:spacing w:before="80" w:after="60" w:line="276" w:lineRule="auto"/>
      </w:pPr>
      <w:r>
        <w:t>PL/SQL components / Componentes PL/SQL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118"/>
        <w:gridCol w:w="4309"/>
      </w:tblGrid>
      <w:tr>
        <w:tc>
          <w:tcPr>
            <w:tcW w:type="dxa" w:w="34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Object</w:t>
            </w:r>
          </w:p>
        </w:tc>
        <w:tc>
          <w:tcPr>
            <w:tcW w:type="dxa" w:w="34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4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Technical value</w:t>
            </w:r>
          </w:p>
        </w:tc>
      </w:tr>
      <w:tr>
        <w:tc>
          <w:tcPr>
            <w:tcW w:type="dxa" w:w="1984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Anonymous blocks</w:t>
            </w:r>
          </w:p>
        </w:tc>
        <w:tc>
          <w:tcPr>
            <w:tcW w:type="dxa" w:w="3118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Test lookups and print contextual output</w:t>
            </w:r>
          </w:p>
        </w:tc>
        <w:tc>
          <w:tcPr>
            <w:tcW w:type="dxa" w:w="4309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Shows variable handling and exception branches</w:t>
            </w:r>
          </w:p>
        </w:tc>
      </w:tr>
      <w:tr>
        <w:tc>
          <w:tcPr>
            <w:tcW w:type="dxa" w:w="1984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Functions</w:t>
            </w:r>
          </w:p>
        </w:tc>
        <w:tc>
          <w:tcPr>
            <w:tcW w:type="dxa" w:w="3118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Return victories, total points, and prize categories</w:t>
            </w:r>
          </w:p>
        </w:tc>
        <w:tc>
          <w:tcPr>
            <w:tcW w:type="dxa" w:w="4309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Shows reusable database logic</w:t>
            </w:r>
          </w:p>
        </w:tc>
      </w:tr>
      <w:tr>
        <w:tc>
          <w:tcPr>
            <w:tcW w:type="dxa" w:w="1984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Procedures</w:t>
            </w:r>
          </w:p>
        </w:tc>
        <w:tc>
          <w:tcPr>
            <w:tcW w:type="dxa" w:w="3118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Update states and register winners</w:t>
            </w:r>
          </w:p>
        </w:tc>
        <w:tc>
          <w:tcPr>
            <w:tcW w:type="dxa" w:w="4309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Shows transaction-facing operations</w:t>
            </w:r>
          </w:p>
        </w:tc>
      </w:tr>
      <w:tr>
        <w:tc>
          <w:tcPr>
            <w:tcW w:type="dxa" w:w="1984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Cursor-based procedure</w:t>
            </w:r>
          </w:p>
        </w:tc>
        <w:tc>
          <w:tcPr>
            <w:tcW w:type="dxa" w:w="3118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Print team ranking sequentially</w:t>
            </w:r>
          </w:p>
        </w:tc>
        <w:tc>
          <w:tcPr>
            <w:tcW w:type="dxa" w:w="4309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Shows explicit cursor control</w:t>
            </w:r>
          </w:p>
        </w:tc>
      </w:tr>
      <w:tr>
        <w:tc>
          <w:tcPr>
            <w:tcW w:type="dxa" w:w="1984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DBMS_OUTPUT</w:t>
            </w:r>
          </w:p>
        </w:tc>
        <w:tc>
          <w:tcPr>
            <w:tcW w:type="dxa" w:w="3118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Expose execution evidence</w:t>
            </w:r>
          </w:p>
        </w:tc>
        <w:tc>
          <w:tcPr>
            <w:tcW w:type="dxa" w:w="4309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Improves demonstrability for class or review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0"/>
        <w:gridCol w:w="4620"/>
      </w:tblGrid>
      <w:tr>
        <w:tc>
          <w:tcPr>
            <w:tcW w:type="dxa" w:w="5100"/>
            <w:shd w:fill="123F6B" w:val="clear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  <w:color w:val="FFFFFF"/>
                <w:sz w:val="21"/>
              </w:rPr>
              <w:t>Valor académico de la capa procedural (ES)</w:t>
            </w:r>
          </w:p>
        </w:tc>
        <w:tc>
          <w:tcPr>
            <w:tcW w:type="dxa" w:w="5100"/>
            <w:shd w:fill="0E7490" w:val="clear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  <w:color w:val="FFFFFF"/>
                <w:sz w:val="21"/>
              </w:rPr>
              <w:t>Academic value of the procedural layer (EN)</w:t>
            </w:r>
          </w:p>
        </w:tc>
      </w:tr>
      <w:tr>
        <w:tc>
          <w:tcPr>
            <w:tcW w:type="dxa" w:w="5100"/>
            <w:shd w:fill="FBFCFD" w:val="clear"/>
            <w:vAlign w:val="top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color w:val="1F2937"/>
                <w:sz w:val="20"/>
              </w:rPr>
            </w:r>
            <w:r>
              <w:rPr>
                <w:rFonts w:ascii="Aptos" w:hAnsi="Aptos"/>
                <w:color w:val="1F2937"/>
                <w:sz w:val="20"/>
              </w:rPr>
              <w:t>La lógica PL/SQL cumple dos objetivos: primero, demostrar que el autor no se queda solo en consultas; segundo, acercar el proyecto a un sistema real con operaciones reutilizables.</w:t>
            </w:r>
          </w:p>
          <w:p>
            <w:pPr>
              <w:spacing w:before="0" w:after="20" w:line="276" w:lineRule="auto"/>
            </w:pP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Las funciones sirven para cálculo y clasificación. Los procedimientos sirven para cambios controlados sobre torneos y partidas.</w:t>
            </w:r>
          </w:p>
        </w:tc>
        <w:tc>
          <w:tcPr>
            <w:tcW w:type="dxa" w:w="5100"/>
            <w:shd w:fill="FBFCFD" w:val="clear"/>
            <w:vAlign w:val="top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color w:val="1F2937"/>
                <w:sz w:val="20"/>
              </w:rPr>
            </w:r>
            <w:r>
              <w:rPr>
                <w:rFonts w:ascii="Aptos" w:hAnsi="Aptos"/>
                <w:color w:val="1F2937"/>
                <w:sz w:val="20"/>
              </w:rPr>
              <w:t>The PL/SQL logic serves two goals: first, to show that the author goes beyond standalone queries; second, to move the repository closer to a real system with reusable operations.</w:t>
            </w:r>
          </w:p>
          <w:p>
            <w:pPr>
              <w:spacing w:before="0" w:after="20" w:line="276" w:lineRule="auto"/>
            </w:pP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Functions are used for calculation and classification. Procedures are used for controlled changes over tournaments and matches.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200"/>
            <w:shd w:fill="F4F8FB" w:val="clear"/>
            <w:tcBorders>
              <w:left w:val="single" w:sz="22" w:color="123F6B"/>
              <w:top w:val="nil"/>
              <w:right w:val="nil"/>
              <w:bottom w:val="nil"/>
            </w:tcBorders>
          </w:tcPr>
          <w:p>
            <w:pPr>
              <w:spacing w:before="80" w:after="20" w:line="276" w:lineRule="auto"/>
            </w:pPr>
            <w:r>
              <w:rPr>
                <w:rFonts w:ascii="Aptos Display" w:hAnsi="Aptos Display" w:eastAsia="Aptos Display"/>
                <w:b/>
                <w:color w:val="123F6B"/>
                <w:sz w:val="30"/>
              </w:rPr>
              <w:t>8. Reviewer guide and expected evidence</w:t>
            </w:r>
          </w:p>
          <w:p>
            <w:pPr>
              <w:spacing w:before="0" w:after="60" w:line="276" w:lineRule="auto"/>
            </w:pPr>
            <w:r>
              <w:rPr>
                <w:rFonts w:ascii="Aptos" w:hAnsi="Aptos"/>
                <w:color w:val="5B6778"/>
                <w:sz w:val="18"/>
              </w:rPr>
              <w:t>What a teacher, recruiter, or peer should look at first.</w:t>
            </w:r>
          </w:p>
        </w:tc>
      </w:tr>
    </w:tbl>
    <w:p/>
    <w:p>
      <w:pPr>
        <w:pStyle w:val="SubHead"/>
        <w:spacing w:before="80" w:after="60" w:line="276" w:lineRule="auto"/>
      </w:pPr>
      <w:r>
        <w:t>Suggested review path / Ruta sugerida de revisión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005"/>
        <w:gridCol w:w="5726"/>
      </w:tblGrid>
      <w:tr>
        <w:tc>
          <w:tcPr>
            <w:tcW w:type="dxa" w:w="34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Open</w:t>
            </w:r>
          </w:p>
        </w:tc>
        <w:tc>
          <w:tcPr>
            <w:tcW w:type="dxa" w:w="34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What to verify</w:t>
            </w:r>
          </w:p>
        </w:tc>
      </w:tr>
      <w:tr>
        <w:tc>
          <w:tcPr>
            <w:tcW w:type="dxa" w:w="794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1</w:t>
            </w:r>
          </w:p>
        </w:tc>
        <w:tc>
          <w:tcPr>
            <w:tcW w:type="dxa" w:w="3005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README + this PDF</w:t>
            </w:r>
          </w:p>
        </w:tc>
        <w:tc>
          <w:tcPr>
            <w:tcW w:type="dxa" w:w="5726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Project purpose and structure are immediately understandable</w:t>
            </w:r>
          </w:p>
        </w:tc>
      </w:tr>
      <w:tr>
        <w:tc>
          <w:tcPr>
            <w:tcW w:type="dxa" w:w="794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2</w:t>
            </w:r>
          </w:p>
        </w:tc>
        <w:tc>
          <w:tcPr>
            <w:tcW w:type="dxa" w:w="3005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01_schema.sql</w:t>
            </w:r>
          </w:p>
        </w:tc>
        <w:tc>
          <w:tcPr>
            <w:tcW w:type="dxa" w:w="5726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Naming, relational consistency, constraints</w:t>
            </w:r>
          </w:p>
        </w:tc>
      </w:tr>
      <w:tr>
        <w:tc>
          <w:tcPr>
            <w:tcW w:type="dxa" w:w="794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3</w:t>
            </w:r>
          </w:p>
        </w:tc>
        <w:tc>
          <w:tcPr>
            <w:tcW w:type="dxa" w:w="3005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02_data.sql</w:t>
            </w:r>
          </w:p>
        </w:tc>
        <w:tc>
          <w:tcPr>
            <w:tcW w:type="dxa" w:w="5726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Data coherence and testing readiness</w:t>
            </w:r>
          </w:p>
        </w:tc>
      </w:tr>
      <w:tr>
        <w:tc>
          <w:tcPr>
            <w:tcW w:type="dxa" w:w="794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4</w:t>
            </w:r>
          </w:p>
        </w:tc>
        <w:tc>
          <w:tcPr>
            <w:tcW w:type="dxa" w:w="3005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03_queries.sql</w:t>
            </w:r>
          </w:p>
        </w:tc>
        <w:tc>
          <w:tcPr>
            <w:tcW w:type="dxa" w:w="5726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Breadth of SQL operations and readability</w:t>
            </w:r>
          </w:p>
        </w:tc>
      </w:tr>
      <w:tr>
        <w:tc>
          <w:tcPr>
            <w:tcW w:type="dxa" w:w="794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5</w:t>
            </w:r>
          </w:p>
        </w:tc>
        <w:tc>
          <w:tcPr>
            <w:tcW w:type="dxa" w:w="3005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04_plsql.sql</w:t>
            </w:r>
          </w:p>
        </w:tc>
        <w:tc>
          <w:tcPr>
            <w:tcW w:type="dxa" w:w="5726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Procedural logic, reuse, exception handling</w:t>
            </w:r>
          </w:p>
        </w:tc>
      </w:tr>
      <w:tr>
        <w:tc>
          <w:tcPr>
            <w:tcW w:type="dxa" w:w="794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6</w:t>
            </w:r>
          </w:p>
        </w:tc>
        <w:tc>
          <w:tcPr>
            <w:tcW w:type="dxa" w:w="3005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Execution screenshots (optional)</w:t>
            </w:r>
          </w:p>
        </w:tc>
        <w:tc>
          <w:tcPr>
            <w:tcW w:type="dxa" w:w="5726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Evidence that scripts ran successfully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0"/>
        <w:gridCol w:w="4620"/>
      </w:tblGrid>
      <w:tr>
        <w:tc>
          <w:tcPr>
            <w:tcW w:type="dxa" w:w="5100"/>
            <w:shd w:fill="123F6B" w:val="clear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  <w:color w:val="FFFFFF"/>
                <w:sz w:val="21"/>
              </w:rPr>
              <w:t>Checklist de calidad (ES)</w:t>
            </w:r>
          </w:p>
        </w:tc>
        <w:tc>
          <w:tcPr>
            <w:tcW w:type="dxa" w:w="5100"/>
            <w:shd w:fill="0E7490" w:val="clear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  <w:color w:val="FFFFFF"/>
                <w:sz w:val="21"/>
              </w:rPr>
              <w:t>Quality checklist (EN)</w:t>
            </w:r>
          </w:p>
        </w:tc>
      </w:tr>
      <w:tr>
        <w:tc>
          <w:tcPr>
            <w:tcW w:type="dxa" w:w="5100"/>
            <w:shd w:fill="FBFCFD" w:val="clear"/>
            <w:vAlign w:val="top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color w:val="1F2937"/>
                <w:sz w:val="20"/>
              </w:rPr>
            </w:r>
            <w:r>
              <w:rPr>
                <w:rFonts w:ascii="Aptos" w:hAnsi="Aptos"/>
                <w:color w:val="1F2937"/>
                <w:sz w:val="20"/>
              </w:rPr>
              <w:t>• Nombres claros y consistentes.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Restricciones que responden a reglas del negocio.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Datos suficientemente variados para mostrar resultados significativos.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Consultas ordenadas y comentables en una demo.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Procedimientos y funciones con propósito concreto.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Documentación que permite entender el proyecto sin ayuda externa.</w:t>
            </w:r>
          </w:p>
        </w:tc>
        <w:tc>
          <w:tcPr>
            <w:tcW w:type="dxa" w:w="5100"/>
            <w:shd w:fill="FBFCFD" w:val="clear"/>
            <w:vAlign w:val="top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color w:val="1F2937"/>
                <w:sz w:val="20"/>
              </w:rPr>
            </w:r>
            <w:r>
              <w:rPr>
                <w:rFonts w:ascii="Aptos" w:hAnsi="Aptos"/>
                <w:color w:val="1F2937"/>
                <w:sz w:val="20"/>
              </w:rPr>
              <w:t>• Clear and consistent naming.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Constraints that map to business rules.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Data varied enough to produce meaningful outputs.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Queries that are easy to explain in a demo.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Procedures and functions with a concrete purpose.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/>
                <w:color w:val="1F2937"/>
                <w:sz w:val="20"/>
              </w:rPr>
              <w:t>• Documentation that makes the project understandable without external help.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200"/>
            <w:shd w:fill="F4F8FB" w:val="clear"/>
            <w:tcBorders>
              <w:left w:val="single" w:sz="22" w:color="123F6B"/>
              <w:top w:val="nil"/>
              <w:right w:val="nil"/>
              <w:bottom w:val="nil"/>
            </w:tcBorders>
          </w:tcPr>
          <w:p>
            <w:pPr>
              <w:spacing w:before="80" w:after="20" w:line="276" w:lineRule="auto"/>
            </w:pPr>
            <w:r>
              <w:rPr>
                <w:rFonts w:ascii="Aptos Display" w:hAnsi="Aptos Display" w:eastAsia="Aptos Display"/>
                <w:b/>
                <w:color w:val="123F6B"/>
                <w:sz w:val="30"/>
              </w:rPr>
              <w:t>9. Expansion roadmap</w:t>
            </w:r>
          </w:p>
          <w:p>
            <w:pPr>
              <w:spacing w:before="0" w:after="60" w:line="276" w:lineRule="auto"/>
            </w:pPr>
            <w:r>
              <w:rPr>
                <w:rFonts w:ascii="Aptos" w:hAnsi="Aptos"/>
                <w:color w:val="5B6778"/>
                <w:sz w:val="18"/>
              </w:rPr>
              <w:t>Natural next steps if the repository is extended in future iterations.</w:t>
            </w:r>
          </w:p>
        </w:tc>
      </w:tr>
    </w:tbl>
    <w:p/>
    <w:p>
      <w:pPr>
        <w:pStyle w:val="SubHead"/>
        <w:spacing w:before="80" w:after="60" w:line="276" w:lineRule="auto"/>
      </w:pPr>
      <w:r>
        <w:t>Recommended improvements / Mejoras recomendadas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948"/>
        <w:gridCol w:w="4479"/>
      </w:tblGrid>
      <w:tr>
        <w:tc>
          <w:tcPr>
            <w:tcW w:type="dxa" w:w="34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Improvement</w:t>
            </w:r>
          </w:p>
        </w:tc>
        <w:tc>
          <w:tcPr>
            <w:tcW w:type="dxa" w:w="34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34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Possible implementation</w:t>
            </w:r>
          </w:p>
        </w:tc>
      </w:tr>
      <w:tr>
        <w:tc>
          <w:tcPr>
            <w:tcW w:type="dxa" w:w="2041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PACKAGE</w:t>
            </w:r>
          </w:p>
        </w:tc>
        <w:tc>
          <w:tcPr>
            <w:tcW w:type="dxa" w:w="2948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Groups logic under a coherent API</w:t>
            </w:r>
          </w:p>
        </w:tc>
        <w:tc>
          <w:tcPr>
            <w:tcW w:type="dxa" w:w="4479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pkg_torneo_gamer with functions and procedures</w:t>
            </w:r>
          </w:p>
        </w:tc>
      </w:tr>
      <w:tr>
        <w:tc>
          <w:tcPr>
            <w:tcW w:type="dxa" w:w="2041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Transactions</w:t>
            </w:r>
          </w:p>
        </w:tc>
        <w:tc>
          <w:tcPr>
            <w:tcW w:type="dxa" w:w="2948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Shows stronger control over failures</w:t>
            </w:r>
          </w:p>
        </w:tc>
        <w:tc>
          <w:tcPr>
            <w:tcW w:type="dxa" w:w="4479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SAVEPOINT, ROLLBACK, business validations</w:t>
            </w:r>
          </w:p>
        </w:tc>
      </w:tr>
      <w:tr>
        <w:tc>
          <w:tcPr>
            <w:tcW w:type="dxa" w:w="2041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Bulk processing</w:t>
            </w:r>
          </w:p>
        </w:tc>
        <w:tc>
          <w:tcPr>
            <w:tcW w:type="dxa" w:w="2948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Shows performance-oriented techniques</w:t>
            </w:r>
          </w:p>
        </w:tc>
        <w:tc>
          <w:tcPr>
            <w:tcW w:type="dxa" w:w="4479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BULK COLLECT and FORALL for batch updates</w:t>
            </w:r>
          </w:p>
        </w:tc>
      </w:tr>
      <w:tr>
        <w:tc>
          <w:tcPr>
            <w:tcW w:type="dxa" w:w="2041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Triggers</w:t>
            </w:r>
          </w:p>
        </w:tc>
        <w:tc>
          <w:tcPr>
            <w:tcW w:type="dxa" w:w="2948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Automates validations or audit trails</w:t>
            </w:r>
          </w:p>
        </w:tc>
        <w:tc>
          <w:tcPr>
            <w:tcW w:type="dxa" w:w="4479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Result validation or change history</w:t>
            </w:r>
          </w:p>
        </w:tc>
      </w:tr>
      <w:tr>
        <w:tc>
          <w:tcPr>
            <w:tcW w:type="dxa" w:w="2041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Views / reports</w:t>
            </w:r>
          </w:p>
        </w:tc>
        <w:tc>
          <w:tcPr>
            <w:tcW w:type="dxa" w:w="2948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Creates reviewer-friendly access points</w:t>
            </w:r>
          </w:p>
        </w:tc>
        <w:tc>
          <w:tcPr>
            <w:tcW w:type="dxa" w:w="4479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Ranking view, active tournaments view</w:t>
            </w:r>
          </w:p>
        </w:tc>
      </w:tr>
      <w:tr>
        <w:tc>
          <w:tcPr>
            <w:tcW w:type="dxa" w:w="2041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Security / roles</w:t>
            </w:r>
          </w:p>
        </w:tc>
        <w:tc>
          <w:tcPr>
            <w:tcW w:type="dxa" w:w="2948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Adds realism to system governance</w:t>
            </w:r>
          </w:p>
        </w:tc>
        <w:tc>
          <w:tcPr>
            <w:tcW w:type="dxa" w:w="4479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Read-only vs maintenance access patterns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200"/>
            <w:shd w:fill="F4F8FB" w:val="clear"/>
            <w:tcBorders>
              <w:left w:val="single" w:sz="22" w:color="123F6B"/>
              <w:top w:val="nil"/>
              <w:right w:val="nil"/>
              <w:bottom w:val="nil"/>
            </w:tcBorders>
          </w:tcPr>
          <w:p>
            <w:pPr>
              <w:spacing w:before="80" w:after="20" w:line="276" w:lineRule="auto"/>
            </w:pPr>
            <w:r>
              <w:rPr>
                <w:rFonts w:ascii="Aptos Display" w:hAnsi="Aptos Display" w:eastAsia="Aptos Display"/>
                <w:b/>
                <w:color w:val="123F6B"/>
                <w:sz w:val="30"/>
              </w:rPr>
              <w:t>10. Spanish quick reference</w:t>
            </w:r>
          </w:p>
          <w:p>
            <w:pPr>
              <w:spacing w:before="0" w:after="60" w:line="276" w:lineRule="auto"/>
            </w:pPr>
            <w:r>
              <w:rPr>
                <w:rFonts w:ascii="Aptos" w:hAnsi="Aptos"/>
                <w:color w:val="5B6778"/>
                <w:sz w:val="18"/>
              </w:rPr>
              <w:t>A concise index for Spanish-speaking reviewers.</w:t>
            </w:r>
          </w:p>
        </w:tc>
      </w:tr>
    </w:tbl>
    <w:p/>
    <w:p>
      <w:pPr>
        <w:pStyle w:val="SubHead"/>
        <w:spacing w:before="80" w:after="60" w:line="276" w:lineRule="auto"/>
      </w:pPr>
      <w:r>
        <w:t>Resumen ejecutivo en español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c>
          <w:tcPr>
            <w:tcW w:type="dxa" w:w="51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51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Resumen</w:t>
            </w:r>
          </w:p>
        </w:tc>
      </w:tr>
      <w:tr>
        <w:tc>
          <w:tcPr>
            <w:tcW w:type="dxa" w:w="2268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Qué es</w:t>
            </w:r>
          </w:p>
        </w:tc>
        <w:tc>
          <w:tcPr>
            <w:tcW w:type="dxa" w:w="7257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Una base de datos Oracle para gestionar torneos gamer con enfoque académico y de portafolio.</w:t>
            </w:r>
          </w:p>
        </w:tc>
      </w:tr>
      <w:tr>
        <w:tc>
          <w:tcPr>
            <w:tcW w:type="dxa" w:w="2268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Qué contiene</w:t>
            </w:r>
          </w:p>
        </w:tc>
        <w:tc>
          <w:tcPr>
            <w:tcW w:type="dxa" w:w="7257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Estructura relacional, carga de datos, consultas SQL, procedimientos y funciones PL/SQL, y documentación bilingüe.</w:t>
            </w:r>
          </w:p>
        </w:tc>
      </w:tr>
      <w:tr>
        <w:tc>
          <w:tcPr>
            <w:tcW w:type="dxa" w:w="2268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Qué demuestra</w:t>
            </w:r>
          </w:p>
        </w:tc>
        <w:tc>
          <w:tcPr>
            <w:tcW w:type="dxa" w:w="7257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Dominio de modelado relacional, consultas, restricciones, lógica procedural y presentación técnica.</w:t>
            </w:r>
          </w:p>
        </w:tc>
      </w:tr>
      <w:tr>
        <w:tc>
          <w:tcPr>
            <w:tcW w:type="dxa" w:w="2268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Autor del sistema</w:t>
            </w:r>
          </w:p>
        </w:tc>
        <w:tc>
          <w:tcPr>
            <w:tcW w:type="dxa" w:w="7257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pbenavides908</w:t>
            </w:r>
          </w:p>
        </w:tc>
      </w:tr>
      <w:tr>
        <w:tc>
          <w:tcPr>
            <w:tcW w:type="dxa" w:w="2268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Uso recomendado</w:t>
            </w:r>
          </w:p>
        </w:tc>
        <w:tc>
          <w:tcPr>
            <w:tcW w:type="dxa" w:w="7257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Portafolio estudiantil, evaluación docente, revisión técnica inicial.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200"/>
            <w:shd w:fill="F4F8FB" w:val="clear"/>
            <w:tcBorders>
              <w:left w:val="single" w:sz="22" w:color="123F6B"/>
              <w:top w:val="nil"/>
              <w:right w:val="nil"/>
              <w:bottom w:val="nil"/>
            </w:tcBorders>
          </w:tcPr>
          <w:p>
            <w:pPr>
              <w:spacing w:before="80" w:after="20" w:line="276" w:lineRule="auto"/>
            </w:pPr>
            <w:r>
              <w:rPr>
                <w:rFonts w:ascii="Aptos Display" w:hAnsi="Aptos Display" w:eastAsia="Aptos Display"/>
                <w:b/>
                <w:color w:val="123F6B"/>
                <w:sz w:val="30"/>
              </w:rPr>
              <w:t>11. English quick reference</w:t>
            </w:r>
          </w:p>
          <w:p>
            <w:pPr>
              <w:spacing w:before="0" w:after="60" w:line="276" w:lineRule="auto"/>
            </w:pPr>
            <w:r>
              <w:rPr>
                <w:rFonts w:ascii="Aptos" w:hAnsi="Aptos"/>
                <w:color w:val="5B6778"/>
                <w:sz w:val="18"/>
              </w:rPr>
              <w:t>A concise index for English-speaking reviewers.</w:t>
            </w:r>
          </w:p>
        </w:tc>
      </w:tr>
    </w:tbl>
    <w:p/>
    <w:p>
      <w:pPr>
        <w:pStyle w:val="SubHead"/>
        <w:spacing w:before="80" w:after="60" w:line="276" w:lineRule="auto"/>
      </w:pPr>
      <w:r>
        <w:t>English executive index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c>
          <w:tcPr>
            <w:tcW w:type="dxa" w:w="51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1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2268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What it is</w:t>
            </w:r>
          </w:p>
        </w:tc>
        <w:tc>
          <w:tcPr>
            <w:tcW w:type="dxa" w:w="7257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An Oracle database project for managing gamer tournaments with both academic and portfolio value.</w:t>
            </w:r>
          </w:p>
        </w:tc>
      </w:tr>
      <w:tr>
        <w:tc>
          <w:tcPr>
            <w:tcW w:type="dxa" w:w="2268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What it contains</w:t>
            </w:r>
          </w:p>
        </w:tc>
        <w:tc>
          <w:tcPr>
            <w:tcW w:type="dxa" w:w="7257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Relational structure, seed data, SQL queries, PL/SQL procedures and functions, and bilingual documentation.</w:t>
            </w:r>
          </w:p>
        </w:tc>
      </w:tr>
      <w:tr>
        <w:tc>
          <w:tcPr>
            <w:tcW w:type="dxa" w:w="2268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What it demonstrates</w:t>
            </w:r>
          </w:p>
        </w:tc>
        <w:tc>
          <w:tcPr>
            <w:tcW w:type="dxa" w:w="7257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Relational modeling, querying, constraints, procedural logic, and technical presentation.</w:t>
            </w:r>
          </w:p>
        </w:tc>
      </w:tr>
      <w:tr>
        <w:tc>
          <w:tcPr>
            <w:tcW w:type="dxa" w:w="2268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System author</w:t>
            </w:r>
          </w:p>
        </w:tc>
        <w:tc>
          <w:tcPr>
            <w:tcW w:type="dxa" w:w="7257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pbenavides908</w:t>
            </w:r>
          </w:p>
        </w:tc>
      </w:tr>
      <w:tr>
        <w:tc>
          <w:tcPr>
            <w:tcW w:type="dxa" w:w="2268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Recommended use</w:t>
            </w:r>
          </w:p>
        </w:tc>
        <w:tc>
          <w:tcPr>
            <w:tcW w:type="dxa" w:w="7257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Student portfolio, instructor assessment, initial technical review.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200"/>
            <w:shd w:fill="F4F8FB" w:val="clear"/>
            <w:tcBorders>
              <w:left w:val="single" w:sz="22" w:color="123F6B"/>
              <w:top w:val="nil"/>
              <w:right w:val="nil"/>
              <w:bottom w:val="nil"/>
            </w:tcBorders>
          </w:tcPr>
          <w:p>
            <w:pPr>
              <w:spacing w:before="80" w:after="20" w:line="276" w:lineRule="auto"/>
            </w:pPr>
            <w:r>
              <w:rPr>
                <w:rFonts w:ascii="Aptos Display" w:hAnsi="Aptos Display" w:eastAsia="Aptos Display"/>
                <w:b/>
                <w:color w:val="123F6B"/>
                <w:sz w:val="30"/>
              </w:rPr>
              <w:t>12. Documentation control</w:t>
            </w:r>
          </w:p>
          <w:p>
            <w:pPr>
              <w:spacing w:before="0" w:after="60" w:line="276" w:lineRule="auto"/>
            </w:pPr>
            <w:r>
              <w:rPr>
                <w:rFonts w:ascii="Aptos" w:hAnsi="Aptos"/>
                <w:color w:val="5B6778"/>
                <w:sz w:val="18"/>
              </w:rPr>
              <w:t>Basic metadata for versioning and maintenance.</w:t>
            </w:r>
          </w:p>
        </w:tc>
      </w:tr>
    </w:tbl>
    <w:p/>
    <w:p>
      <w:pPr>
        <w:pStyle w:val="SubHead"/>
        <w:spacing w:before="80" w:after="60" w:line="276" w:lineRule="auto"/>
      </w:pPr>
      <w:r>
        <w:t>Document control / Control documental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406"/>
      </w:tblGrid>
      <w:tr>
        <w:tc>
          <w:tcPr>
            <w:tcW w:type="dxa" w:w="51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00"/>
            <w:shd w:fill="123F6B" w:val="clear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18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Document title</w:t>
            </w:r>
          </w:p>
        </w:tc>
        <w:tc>
          <w:tcPr>
            <w:tcW w:type="dxa" w:w="6406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Torneo Gamer DB - Bilingual Technical Documentation</w:t>
            </w:r>
          </w:p>
        </w:tc>
      </w:tr>
      <w:tr>
        <w:tc>
          <w:tcPr>
            <w:tcW w:type="dxa" w:w="3118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Version</w:t>
            </w:r>
          </w:p>
        </w:tc>
        <w:tc>
          <w:tcPr>
            <w:tcW w:type="dxa" w:w="6406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1.1 - visual redesign</w:t>
            </w:r>
          </w:p>
        </w:tc>
      </w:tr>
      <w:tr>
        <w:tc>
          <w:tcPr>
            <w:tcW w:type="dxa" w:w="3118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Owner / Author of the system</w:t>
            </w:r>
          </w:p>
        </w:tc>
        <w:tc>
          <w:tcPr>
            <w:tcW w:type="dxa" w:w="6406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pbenavides908</w:t>
            </w:r>
          </w:p>
        </w:tc>
      </w:tr>
      <w:tr>
        <w:tc>
          <w:tcPr>
            <w:tcW w:type="dxa" w:w="3118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Language scope</w:t>
            </w:r>
          </w:p>
        </w:tc>
        <w:tc>
          <w:tcPr>
            <w:tcW w:type="dxa" w:w="6406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Spanish and English</w:t>
            </w:r>
          </w:p>
        </w:tc>
      </w:tr>
      <w:tr>
        <w:tc>
          <w:tcPr>
            <w:tcW w:type="dxa" w:w="3118"/>
            <w:shd w:fill="FBFCFD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Intended folder</w:t>
            </w:r>
          </w:p>
        </w:tc>
        <w:tc>
          <w:tcPr>
            <w:tcW w:type="dxa" w:w="6406"/>
            <w:shd w:fill="FBFCFD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/docs</w:t>
            </w:r>
          </w:p>
        </w:tc>
      </w:tr>
      <w:tr>
        <w:tc>
          <w:tcPr>
            <w:tcW w:type="dxa" w:w="3118"/>
            <w:shd w:fill="F3F7FA" w:val="clear"/>
            <w:vAlign w:val="center"/>
          </w:tcPr>
          <w:p>
            <w:pPr>
              <w:spacing w:before="30" w:after="30" w:line="259" w:lineRule="auto"/>
              <w:jc w:val="center"/>
            </w:pPr>
            <w:r>
              <w:rPr>
                <w:color w:val="1F2937"/>
                <w:sz w:val="18"/>
              </w:rPr>
              <w:t>Related artifacts</w:t>
            </w:r>
          </w:p>
        </w:tc>
        <w:tc>
          <w:tcPr>
            <w:tcW w:type="dxa" w:w="6406"/>
            <w:shd w:fill="F3F7FA" w:val="clear"/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color w:val="1F2937"/>
                <w:sz w:val="18"/>
              </w:rPr>
              <w:t>01_schema.sql, 02_data.sql, 03_queries.sql, 04_plsql.sql, README.md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200"/>
            <w:shd w:fill="FFF8E8" w:val="clear"/>
            <w:tcBorders>
              <w:left w:val="single" w:sz="18" w:color="C58A1E"/>
              <w:top w:val="single" w:sz="6" w:color="E8D8B0"/>
              <w:right w:val="single" w:sz="6" w:color="E8D8B0"/>
              <w:bottom w:val="single" w:sz="6" w:color="E8D8B0"/>
            </w:tcBorders>
          </w:tcPr>
          <w:p>
            <w:pPr>
              <w:spacing w:before="60" w:after="20" w:line="276" w:lineRule="auto"/>
            </w:pPr>
            <w:r>
              <w:rPr>
                <w:rFonts w:ascii="Aptos" w:hAnsi="Aptos"/>
                <w:b/>
                <w:color w:val="1F2937"/>
                <w:sz w:val="20"/>
              </w:rPr>
              <w:t>Closing note / Nota de cierre</w:t>
            </w:r>
          </w:p>
          <w:p>
            <w:pPr>
              <w:spacing w:before="0" w:after="60" w:line="276" w:lineRule="auto"/>
            </w:pPr>
            <w:r>
              <w:rPr>
                <w:rFonts w:ascii="Aptos" w:hAnsi="Aptos"/>
                <w:color w:val="1F2937"/>
                <w:sz w:val="20"/>
              </w:rPr>
              <w:t>This PDF is intentionally more detailed than a README. Its role is to help a reviewer understand the system, the repository flow, and the technical maturity of the project in a single reading pass.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8"/>
        <w:sz w:val="16"/>
      </w:rPr>
      <w:t xml:space="preserve">Core documentation | Author of the system: pbenavides908 |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778"/>
        <w:sz w:val="16"/>
      </w:rPr>
      <w:t>Torneo Gamer DB |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rPr>
      <w:rFonts w:ascii="Aptos Display" w:hAnsi="Aptos Display" w:eastAsia="Aptos Display"/>
      <w:b/>
      <w:color w:val="123F6B"/>
      <w:sz w:val="48"/>
    </w:rPr>
  </w:style>
  <w:style w:type="paragraph" w:customStyle="1" w:styleId="DocSub">
    <w:name w:val="DocSub"/>
    <w:basedOn w:val="Normal"/>
    <w:rPr>
      <w:rFonts w:ascii="Aptos" w:hAnsi="Aptos" w:eastAsia="Aptos"/>
      <w:i/>
      <w:color w:val="5B6778"/>
      <w:sz w:val="22"/>
    </w:rPr>
  </w:style>
  <w:style w:type="paragraph" w:customStyle="1" w:styleId="SectionHead">
    <w:name w:val="SectionHead"/>
    <w:basedOn w:val="Normal"/>
    <w:rPr>
      <w:rFonts w:ascii="Aptos Display" w:hAnsi="Aptos Display" w:eastAsia="Aptos Display"/>
      <w:b/>
      <w:color w:val="123F6B"/>
      <w:sz w:val="30"/>
    </w:rPr>
  </w:style>
  <w:style w:type="paragraph" w:customStyle="1" w:styleId="SubHead">
    <w:name w:val="SubHead"/>
    <w:basedOn w:val="Normal"/>
    <w:rPr>
      <w:rFonts w:ascii="Aptos" w:hAnsi="Aptos" w:eastAsia="Aptos"/>
      <w:b/>
      <w:color w:val="0E7490"/>
      <w:sz w:val="23"/>
    </w:rPr>
  </w:style>
  <w:style w:type="paragraph" w:customStyle="1" w:styleId="Small">
    <w:name w:val="Small"/>
    <w:basedOn w:val="Normal"/>
    <w:rPr>
      <w:rFonts w:ascii="Aptos" w:hAnsi="Aptos" w:eastAsia="Aptos"/>
      <w:color w:val="5B6778"/>
      <w:sz w:val="17"/>
    </w:rPr>
  </w:style>
  <w:style w:type="paragraph" w:customStyle="1" w:styleId="BoxText">
    <w:name w:val="BoxText"/>
    <w:basedOn w:val="Normal"/>
    <w:rPr>
      <w:rFonts w:ascii="Aptos" w:hAnsi="Aptos" w:eastAsia="Aptos"/>
      <w:color w:val="1F29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