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Granty ERC a sprawa polska, czyli uczony głodny jest o wiele mniej płodny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Polskie instytucje naukowe są za biedne, aby skutecznie konkurować o granty Europejskiej Rady ds. Badań Naukowych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W 2007 r. powołano w Europie instytucję, która ma wspierać i do pewnego stopnia koordynować wspólne wysiłki badawcze uczonych z krajów europejskich (nie tylko UE). W zamyśle, dzięki temu Europa może dogoni kiedyś USA i kraje Azji Wschodniej w badaniach i innowacji. Tak powstała Europejska Rada ds. Badań Naukowych (</w:t>
      </w:r>
      <w:r>
        <w:rPr>
          <w:i/>
          <w:iCs/>
        </w:rPr>
        <w:t>European Research Council</w:t>
      </w:r>
      <w:r>
        <w:rPr/>
        <w:t xml:space="preserve">, ERC) z budżetem 13 mld euro na lata 2014-2020 z programu </w:t>
      </w:r>
      <w:r>
        <w:rPr>
          <w:i/>
          <w:iCs/>
        </w:rPr>
        <w:t>Horyzont 2020</w:t>
      </w:r>
      <w:r>
        <w:rPr/>
        <w:t xml:space="preserve">. </w:t>
      </w:r>
      <w:hyperlink r:id="rId2">
        <w:r>
          <w:rPr>
            <w:rStyle w:val="InternetLink"/>
          </w:rPr>
          <w:t>Podstawą działania ERC jest finansowanie trzech głównych konkursów grantowych</w:t>
        </w:r>
      </w:hyperlink>
      <w:r>
        <w:rPr/>
        <w:t>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 xml:space="preserve">ERC Starting Grants (StG) </w:t>
      </w:r>
      <w:r>
        <w:rPr/>
        <w:t>– dla młodych zdolnych badaczy między 2 a 7 lat po doktoracie.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 xml:space="preserve">ERC Consolidator Grants (CoG) </w:t>
      </w:r>
      <w:r>
        <w:rPr/>
        <w:t>– dla wyróżniających się badaczy między 7 a 12 lat po doktoracie.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>ERC Advanced Grants (AdG)</w:t>
      </w:r>
      <w:r>
        <w:rPr/>
        <w:t xml:space="preserve"> – dla uczonych będących uznanymi liderami w swoich dziedzinach.</w:t>
      </w:r>
    </w:p>
    <w:p>
      <w:pPr>
        <w:pStyle w:val="Normal"/>
        <w:jc w:val="both"/>
        <w:rPr/>
      </w:pPr>
      <w:r>
        <w:rPr/>
        <w:t>Dostać któryś z tych grantów, oznacza być KIMŚ w europejskiej nauce. Granty są wysokie (do max. 2,5 mln euro), a dzięki nim można przyciągać najlepszych kandydatów do swojego zespołu. Konkurencja jest zażarta i badaczom afiliowanym w Polsce nie bardzo udaje się zdobywanie pieniędzy z ERC. Pani Ewa Kuśmierczyk, szefowa Biura Doskonałości Naukowej PAN, tłumaczy to tak: "</w:t>
      </w:r>
      <w:r>
        <w:rPr>
          <w:i/>
          <w:iCs/>
        </w:rPr>
        <w:t>Polacy składają całkiem sporo wniosków grantowych. Naszym problemem jest to, że mamy wyjątkowo niski wskaźnik sukcesu (stosunek wniosków dofinansowanych do złożonych - PAP). Przeciętny wskaźnik sukcesu w ERC to 11 proc., a w Polsce 2,5 proc. To znaczy, że albo mamy źle przygotowane wnioski, albo składają je nieodpowiedni badacze. Osoby, które mają największe szanse na granty ERC, nie aplikują o nie</w:t>
      </w:r>
      <w:r>
        <w:rPr/>
        <w:t xml:space="preserve">". [“Puls Biznesu”, 2016-11-12,  </w:t>
      </w:r>
      <w:hyperlink r:id="rId3">
        <w:r>
          <w:rPr>
            <w:rStyle w:val="InternetLink"/>
          </w:rPr>
          <w:t>http://www.pb.pl/4647375,17372</w:t>
        </w:r>
      </w:hyperlink>
      <w:r>
        <w:rPr/>
        <w:t xml:space="preserve"> ]. Ambicją kolejnych Ministrów Nauki i Szkolnictwa Wyższego jest, aby naszym uczonym szło lepiej w rywalizacji o granty ERC- m.in. właśnie po to powołano Biuro Doskonałości Naukowej przy PAN. Wicepremier i Minister NiSW Jarosław Gowin dał tej ambicji wyraz mówiąc: “</w:t>
      </w:r>
      <w:r>
        <w:rPr>
          <w:i/>
          <w:iCs/>
        </w:rPr>
        <w:t>(...) kwestią kluczową jest wykształcenie w naszych jednostkach naukowych kompetencji w zdobywaniu finansowania drogą grantową. Mam na myśli zwłaszcza granty międzynarodowe. Obecnie w nikłym stopniu finansujemy nasze badania z programu „Horyzont 2020", największego tego typu instrumentu na świecie.</w:t>
      </w:r>
      <w:r>
        <w:rPr/>
        <w:t xml:space="preserve">” [“Rzeczpospolita”, 2016-11-16, </w:t>
      </w:r>
      <w:hyperlink r:id="rId4">
        <w:r>
          <w:rPr>
            <w:rStyle w:val="InternetLink"/>
          </w:rPr>
          <w:t>http://www.rp.pl/Polityka/311169912-Jaroslaw-Gowin-Wiek-emerytalny-Jestem-sceptyczny.html</w:t>
        </w:r>
      </w:hyperlink>
      <w:r>
        <w:rPr/>
        <w:t xml:space="preserve">]. Dlaczego uczeni z Polski zdobywają tak mało grantów ERC? Nie mając możliwości zajrzenia wszystkim naszym uczonym do CV i oceny, czy są oni odpowiednimi, czy nieodpowiednimi kandydatami do tego, aby aplikować o nie, postanowiliśmy rzucić okiem na dane makroekonomiczne z roku 2014 oraz statystyki konkursów ERC z roku 2015.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Należy oczekiwać, że im więcej naukowców pracuje w danym kraju, tym więcej wniosków spływa do ERC z różnych instytucji w nim zlokalizowanych. I faktycznie, z maleńkiej Słowenii (SI) (około 8600 zatrudnionych badaczy) spłynęło jedynie 17 wniosków wartych rozpatrzenia, a z jeszcze mniejszej Islandii (IS) (2500 naukowców) tylko 4. Natomiast z Francji (FR), Wielkiej Brytanii (UK) i Niemiec (DE) odpowiednio: 643, 1218 oraz 774 wniosków. Badacze z Polski złożyli w 2015 r. 114 wniosków, które przesłano do oceny eksperckiej (nie mylić z całkowitą liczbą złożonych wniosków). W Polsce pracuje 78,6 tys. naukowców zatrudnionych na stałe, czyli 3,5 razy mniej niż w Wielkiej Brytanii oraz 4,5 razy mniej niż w Niemczech, chociaż pod względem liczebności populacji jesteśmy tylko dwa razy mniejsi niż Republika Federalna. Wniosków z Polski, które zostały skierowane do oceny, było mniej niż można się spodziewać w kraju o takiej populacji badaczy. Zależności te przedstawia pierwszy wykres.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Liczba wniosków złożonych w konkurach ERC (StG + CoG + AdG) w 2015 roku, które były oceniane rośnie wraz z liczbą personelu naukowego zatrudnionego w danym kraju. Na czerwono – Polska, na żółto - inne kraje które jak i my na BiR przeznaczają &lt;1% PKP, na niebiesko 1-2% PKB na BiR, na zielono &gt;2% (dane Banku Światowego z 2014 r.). Kody nazw krajów wg oznaczeń używanych przez EuroStat.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Zobaczmy więc, od czego zależy liczba badaczy w danym kraju: żeby uwzględnić różnice w wielkości populacji różnych krajów, Bank Światowy używa jako statystyki liczby osób zatrudnionych w badaniach przypadających na 1 mln mieszkańców. Zwykle, im kraj wydaje większy procent swego PKB na badania i rozwój (BiR), tym większy odsetek zatrudnionych stanowią badacze. Rekordzistą jest Izrael (IL), który ma 8255 uczonych na milion mieszkańców (a ma populację ledwie 8,3 mln osób), duże kraje z Zachodniej Europy zwykle mają powyżej 4 tys. badaczy na milion. Ale Polska ma jedynie 2 tys. na milion i przypomnijmy, według danych Banku Światowego, przeznaczamy jedynie 0,94% naszego PKB na BiR. Nauka wciąż wymaga głównie pracy ludzi a nie maszyn, więc nie dziwi, że zatrudnienie naukowców w różnych krajach rośnie proporcjonalnie do wydatków na ten sektor. Tak więc, dokąd trafiły granty ERC w 2015 r.?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Zatrudnienie badaczy w gospodarkach rośnie wraz z procentem PKB przeznaczonym na BiR.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Jak widać, granty ERC w 2015 r. trafiły po pierwsze, do krajów, gdzie zatrudnionych jest dużo naukowców. Nie trafiają one do krajów bardzo małych oraz do tych, które wydają na BiR niewielką część swojego PKB. A od czego zależy wskaźnik sukcesu, o którym mówiła Ewa Kuśmierczyk? Bo wiemy już, że z dużych krajów jest po prostu więcej składanych wniosków. Ponownie – naukowcy z krajów, które wydają większą część swojego PKB na BiR, częściej zdobywali w 2015 r. granty ERC. Wyjaśnijmy jeszcze, że w naszym zestawieniu wskaźnik sukcesu wniosków z Polski wynosi 4,4%, podczas gdy szefowa BDN PAN mówiła o 2,5% - być może BDN liczy wszystkie wnioski złożone do ERC, ale ERC w swoich statystykach (skąd mamy dane) ujmuje tylko wnioski skierowane do etapu oceny eksperckiej, nie zliczając chyba tych niespełniających wymogów formalnych. Polska i tak jest liderem w kategorii krajów wydających mniej niż 1% PKB na BiR – mało to jednak pocieszające.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Wskaźnik sukcesu w pozyskiwaniu grantów ERC w 2015 roku zależy głównie od procent PKB wydawanego na BiR. Również szerokim łukiem sukces omija kraje zarazem małe i wydające średnią część swego PKB na BiR.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W ostatnim zestawieniu ciekawa jest wysoka, względem wydatków na BiR, pozycja Szwajcarii (CH), Holandii (NL), Luksemburga (LU) oraz Wielkiej Brytanii (UK). Luksemburg jest krajem wyjątkowym: małym i niezwykle zamożnym dzięki sektorowi finansowemu. O pozostałej trójce wiemy, że są to kraje o mocno rozwiniętych własnych systemach grantowych (np. brytyjskie </w:t>
      </w:r>
      <w:r>
        <w:rPr>
          <w:i/>
          <w:iCs/>
        </w:rPr>
        <w:t xml:space="preserve">Research Councils UK </w:t>
      </w:r>
      <w:r>
        <w:rPr/>
        <w:t xml:space="preserve">czy pozarządowy </w:t>
      </w:r>
      <w:r>
        <w:rPr>
          <w:i/>
          <w:iCs/>
        </w:rPr>
        <w:t>Wel</w:t>
      </w:r>
      <w:r>
        <w:rPr>
          <w:i/>
          <w:iCs/>
        </w:rPr>
        <w:t>l</w:t>
      </w:r>
      <w:r>
        <w:rPr>
          <w:i/>
          <w:iCs/>
        </w:rPr>
        <w:t>come Trust</w:t>
      </w:r>
      <w:r>
        <w:rPr/>
        <w:t>) gdzie uczeni muszą zdobywać finansowanie badań w bardzo konkurencyjnych programach krajowych. Natomiast nie wiemy, dlaczego kraje skandynawskie jak Finlandia (FI), Dania (DK) i Szwecja (SE), nie mówiąc o Norwegii (NO) (która jest krajem EFTA, ale poza UE) wypadają tak słabo, pomimo znacznych wydatków na BiR. Nie wiemy też co o tym wyniku mówią ich ministrowie nauki.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Powyższa analiza pokazuje, ze granty ERC są dla silnych graczy – to nie jest forma naukowej zapomogi. Trafiają one do krajów, które przeznaczają na badania i rozwój co najmniej dwa razy większy procent PKB niż Polska (z wyjątkiem Wlk. Brytanii, skądinąd kraju dużo bogatszego niż my) oraz jednocześnie zatrudniają w swych gospodarkach odpowiednio dużą liczbę badaczy tworząc w ten sposób silne środowisko naukowe przećwiczone w konkurencji o granty. Przykłady Szwajcarii, Wielkiej Brytanii i Holandii pokazują, że można osiągnąć lepsze wyniki poprzez lepszą organizację pracy i zachęty administracyjne, więc istnienie takich instytucji jak Biuro Doskonałości Naukowej PAN nie jest może bezcelowe, ale </w:t>
      </w:r>
      <w:r>
        <w:rPr>
          <w:b/>
          <w:bCs/>
        </w:rPr>
        <w:t>w żaden sposób nie zastąpi solidnego finansowania nauki!</w:t>
      </w:r>
      <w:r>
        <w:rPr/>
        <w:t xml:space="preserve"> Granty ERC to wisienka na torcie, a nie danie główne dla badaczy szukających pieniędzy na badania.</w:t>
      </w:r>
      <w:r>
        <w:rPr>
          <w:b/>
          <w:bCs/>
        </w:rPr>
        <w:t xml:space="preserve"> </w:t>
      </w:r>
      <w:r>
        <w:rPr/>
        <w:t xml:space="preserve">Błędem jest traktowanie pieniędzy z ERC i szerzej, z programu </w:t>
      </w:r>
      <w:r>
        <w:rPr>
          <w:i/>
          <w:iCs/>
        </w:rPr>
        <w:t>Horyzont 2020</w:t>
      </w:r>
      <w:r>
        <w:rPr/>
        <w:t xml:space="preserve">, jako środków, którymi można łatać budżety naszych instytucji. Te pieniądze bardzo trudno zdobyć, wymagają posiadania solidnych (czasem wręcz spektakularnych) osiągnięć, mają sztywno określone sposoby ich wydatkowania, a więc </w:t>
      </w:r>
      <w:r>
        <w:rPr>
          <w:b/>
          <w:bCs/>
        </w:rPr>
        <w:t>nie są to środki, którymi można zastąpić własne źródła finansowania badań</w:t>
      </w:r>
      <w:r>
        <w:rPr/>
        <w:t xml:space="preserve">. A trzeci już Minister Nauki chyba na to liczy. Wszystkie polskie rządy od czasu przystąpienia do UE w 2004 r. prowadzą tą samą politykę naukową. Politykę nadziei, że polscy uczeni to geniusze, którzy poprowadzą światowej klasy badania, ale za mniej niż </w:t>
      </w:r>
      <w:bookmarkStart w:id="0" w:name="_GoBack"/>
      <w:bookmarkEnd w:id="0"/>
      <w:r>
        <w:rPr/>
        <w:t>połowę obowiązującej na świecie ceny.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Zestawienie danych do pobrania:</w:t>
      </w:r>
    </w:p>
    <w:p>
      <w:pPr>
        <w:pStyle w:val="Normal"/>
        <w:rPr/>
      </w:pPr>
      <w:hyperlink r:id="rId8">
        <w:r>
          <w:rPr>
            <w:rStyle w:val="InternetLink"/>
            <w:b/>
            <w:bCs/>
          </w:rPr>
          <w:t>https://bitbucket.org/pbentkowski/erc_2015_grants_stats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Źródła:</w:t>
      </w:r>
    </w:p>
    <w:p>
      <w:pPr>
        <w:pStyle w:val="Normal"/>
        <w:rPr/>
      </w:pPr>
      <w:r>
        <w:rPr/>
        <w:t>Dane o zatrudnieniu w badaniach w Europie:</w:t>
      </w:r>
    </w:p>
    <w:p>
      <w:pPr>
        <w:pStyle w:val="Normal"/>
        <w:rPr/>
      </w:pPr>
      <w:hyperlink r:id="rId9">
        <w:r>
          <w:rPr>
            <w:rStyle w:val="InternetLink"/>
          </w:rPr>
          <w:t>http://ec.europa.eu/eurostat/statistics-explained/index.php/R_%26_D_personnel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Wydatki na badania i rozwój oraz zatrudnienie w nauce wg krajów:</w:t>
      </w:r>
    </w:p>
    <w:p>
      <w:pPr>
        <w:pStyle w:val="Normal"/>
        <w:rPr/>
      </w:pPr>
      <w:hyperlink r:id="rId10">
        <w:r>
          <w:rPr>
            <w:rStyle w:val="InternetLink"/>
          </w:rPr>
          <w:t>http://data.worldbank.org/indicator/GB.XPD.RSDV.GD.ZS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http://data.worldbank.org/indicator/SP.POP.SCIE.RD.P6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Statystyki grantów ERC w 2015 r.:</w:t>
      </w:r>
    </w:p>
    <w:p>
      <w:pPr>
        <w:pStyle w:val="Normal"/>
        <w:rPr/>
      </w:pPr>
      <w:hyperlink r:id="rId12">
        <w:r>
          <w:rPr>
            <w:rStyle w:val="InternetLink"/>
          </w:rPr>
          <w:t>https://erc.europa.eu/sites/default/files/document/file/erc_2015_stg_results_all_domains.pdf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https://erc.europa.eu/projects-and-results/statistics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Kody nazw krajów według EuroStat:</w:t>
      </w:r>
    </w:p>
    <w:p>
      <w:pPr>
        <w:pStyle w:val="Normal"/>
        <w:rPr/>
      </w:pPr>
      <w:hyperlink r:id="rId14">
        <w:r>
          <w:rPr>
            <w:rStyle w:val="InternetLink"/>
          </w:rPr>
          <w:t>http://ec.europa.eu/eurostat/statistics-explained/index.php/Glossary:Country_codes</w:t>
        </w:r>
      </w:hyperlink>
    </w:p>
    <w:sectPr>
      <w:headerReference w:type="default" r:id="rId15"/>
      <w:footerReference w:type="default" r:id="rId16"/>
      <w:type w:val="nextPage"/>
      <w:pgSz w:w="11906" w:h="16838"/>
      <w:pgMar w:left="1134" w:right="1134" w:header="850" w:top="1881" w:footer="850" w:bottom="14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 </w:t>
    </w:r>
    <w:r>
      <w:rPr>
        <w:rFonts w:eastAsia="Droid Sans Fallback" w:cs="FreeSans"/>
        <w:sz w:val="21"/>
        <w:szCs w:val="21"/>
      </w:rPr>
      <w:t xml:space="preserve">Piotr Bentkowski </w:t>
    </w:r>
    <w:r>
      <w:rPr>
        <w:rFonts w:eastAsia="Droid Sans Fallback" w:cs="FreeSans"/>
        <w:sz w:val="21"/>
        <w:szCs w:val="21"/>
      </w:rPr>
      <w:t>dla Obywateli Nauki</w:t>
    </w:r>
    <w:r>
      <w:rPr>
        <w:rFonts w:eastAsia="Droid Sans Fallback" w:cs="FreeSans"/>
        <w:sz w:val="21"/>
        <w:szCs w:val="21"/>
      </w:rPr>
      <w:t>:</w:t>
    </w:r>
    <w:r>
      <w:rPr>
        <w:sz w:val="21"/>
        <w:szCs w:val="21"/>
      </w:rPr>
      <w:t xml:space="preserve"> </w:t>
    </w:r>
    <w:hyperlink r:id="rId1">
      <w:r>
        <w:rPr>
          <w:rStyle w:val="InternetLink"/>
          <w:b w:val="false"/>
          <w:bCs w:val="false"/>
          <w:sz w:val="21"/>
          <w:szCs w:val="21"/>
          <w:u w:val="none"/>
        </w:rPr>
        <w:t>Uznanie autorstwa 3.0 Polska (CC BY 3.0 PL)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0" distL="0" distR="0">
          <wp:extent cx="2330450" cy="417830"/>
          <wp:effectExtent l="0" t="0" r="0" b="0"/>
          <wp:docPr id="4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0450" cy="417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</w:t>
    </w:r>
    <w:r>
      <w:rPr>
        <w:sz w:val="28"/>
        <w:szCs w:val="28"/>
      </w:rPr>
      <w:t xml:space="preserve"> </w:t>
    </w:r>
    <w:r>
      <w:rPr>
        <w:sz w:val="28"/>
        <w:szCs w:val="28"/>
      </w:rPr>
      <w:t>Poznań, 21 listopada 2016 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4e6969"/>
    <w:rPr>
      <w:rFonts w:ascii="Tahoma" w:hAnsi="Tahoma" w:cs="Mangal"/>
      <w:color w:val="00000A"/>
      <w:sz w:val="16"/>
      <w:szCs w:val="1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e6969"/>
    <w:pPr/>
    <w:rPr>
      <w:rFonts w:ascii="Tahoma" w:hAnsi="Tahoma" w:cs="Mangal"/>
      <w:sz w:val="16"/>
      <w:szCs w:val="14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>
      <w:pBdr>
        <w:bottom w:val="single" w:sz="2" w:space="1" w:color="000001"/>
      </w:pBdr>
      <w:bidi w:val="0"/>
      <w:jc w:val="left"/>
    </w:pPr>
    <w:rPr/>
  </w:style>
  <w:style w:type="paragraph" w:styleId="Footer">
    <w:name w:val="Footer"/>
    <w:basedOn w:val="Normal"/>
    <w:pPr>
      <w:pBdr>
        <w:top w:val="single" w:sz="2" w:space="1" w:color="000001"/>
      </w:pBdr>
      <w:bidi w:val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c.europa.eu/funding-and-grants/funding-schemes" TargetMode="External"/><Relationship Id="rId3" Type="http://schemas.openxmlformats.org/officeDocument/2006/relationships/hyperlink" Target="http://www.pb.pl/4647375,17372" TargetMode="External"/><Relationship Id="rId4" Type="http://schemas.openxmlformats.org/officeDocument/2006/relationships/hyperlink" Target="http://www.rp.pl/Polityka/311169912-Jaroslaw-Gowin-Wiek-emerytalny-Jestem-sceptyczny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bitbucket.org/pbentkowski/erc_2015_grants_stats" TargetMode="External"/><Relationship Id="rId9" Type="http://schemas.openxmlformats.org/officeDocument/2006/relationships/hyperlink" Target="http://ec.europa.eu/eurostat/statistics-explained/index.php/R_%26_D_personnel" TargetMode="External"/><Relationship Id="rId10" Type="http://schemas.openxmlformats.org/officeDocument/2006/relationships/hyperlink" Target="http://data.worldbank.org/indicator/GB.XPD.RSDV.GD.ZS" TargetMode="External"/><Relationship Id="rId11" Type="http://schemas.openxmlformats.org/officeDocument/2006/relationships/hyperlink" Target="http://data.worldbank.org/indicator/SP.POP.SCIE.RD.P6" TargetMode="External"/><Relationship Id="rId12" Type="http://schemas.openxmlformats.org/officeDocument/2006/relationships/hyperlink" Target="https://erc.europa.eu/sites/default/files/document/file/erc_2015_stg_results_all_domains.pdf" TargetMode="External"/><Relationship Id="rId13" Type="http://schemas.openxmlformats.org/officeDocument/2006/relationships/hyperlink" Target="https://erc.europa.eu/projects-and-results/statistics" TargetMode="External"/><Relationship Id="rId14" Type="http://schemas.openxmlformats.org/officeDocument/2006/relationships/hyperlink" Target="http://ec.europa.eu/eurostat/statistics-explained/index.php/Glossary:Country_code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/3.0/pl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Application>LibreOffice/5.2.3.2$Linux_X86_64 LibreOffice_project/20m0$Build-2</Application>
  <Pages>5</Pages>
  <Words>1338</Words>
  <Characters>8066</Characters>
  <CharactersWithSpaces>9432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2016-11-16T11:13:00Z</dcterms:created>
  <dc:creator>Piotr Bentkowski</dc:creator>
  <dc:description/>
  <dc:language>en-US</dc:language>
  <cp:lastModifiedBy>Piotr Bentkowski</cp:lastModifiedBy>
  <dcterms:modified xsi:type="dcterms:W3CDTF">2016-11-21T23:24:04Z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