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Resultados de análisis sobre Agua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Fecha de muestreo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Laboratorio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N° Cadena custodia OPDS</w:t>
            </w:r>
          </w:p>
        </w:tc>
        <w:tc>
          <w:tcPr>
            <w:shd w:fill="D9D9D9" w:color="auto" w:val="clear"/>
          </w:tcPr>
          <w:p>
            <w:r>
              <w:t xml:space="preserve">OPDS 1</w:t>
            </w:r>
          </w:p>
        </w:tc>
        <w:tc>
          <w:tcPr>
            <w:shd w:fill="D9D9D9" w:color="auto" w:val="clear"/>
          </w:tcPr>
          <w:p>
            <w:r>
              <w:t xml:space="preserve">OPDS 2</w:t>
            </w:r>
          </w:p>
        </w:tc>
        <w:tc>
          <w:tcPr>
            <w:shd w:fill="D9D9D9" w:color="auto" w:val="clear"/>
          </w:tcPr>
          <w:p>
            <w:r>
              <w:t xml:space="preserve">OPDS 3</w:t>
            </w:r>
          </w:p>
        </w:tc>
        <w:tc>
          <w:tcPr>
            <w:shd w:fill="D9D9D9" w:color="auto" w:val="clear"/>
          </w:tcPr>
          <w:p>
            <w:r>
              <w:t xml:space="preserve">OPDS 4</w:t>
            </w:r>
          </w:p>
        </w:tc>
        <w:tc>
          <w:tcPr>
            <w:shd w:fill="D9D9D9" w:color="auto" w:val="clear"/>
          </w:tcPr>
          <w:p>
            <w:r>
              <w:t xml:space="preserve">OPDS 5</w:t>
            </w:r>
          </w:p>
        </w:tc>
        <w:tc>
          <w:tcPr>
            <w:shd w:fill="D9D9D9" w:color="auto" w:val="clear"/>
          </w:tcPr>
          <w:p>
            <w:r>
              <w:t xml:space="preserve">OPDS 6</w:t>
            </w:r>
          </w:p>
        </w:tc>
        <w:tc>
          <w:tcPr>
            <w:shd w:fill="D9D9D9" w:color="auto" w:val="clear"/>
          </w:tcPr>
          <w:p>
            <w:r>
              <w:t xml:space="preserve">OPDS 7</w:t>
            </w:r>
          </w:p>
        </w:tc>
        <w:tc>
          <w:tcPr>
            <w:shd w:fill="D9D9D9" w:color="auto" w:val="clear"/>
          </w:tcPr>
          <w:p>
            <w:r>
              <w:t xml:space="preserve">OPDS 8</w:t>
            </w:r>
          </w:p>
        </w:tc>
        <w:tc>
          <w:tcPr>
            <w:shd w:fill="D9D9D9" w:color="auto" w:val="clear"/>
          </w:tcPr>
          <w:p>
            <w:r>
              <w:t xml:space="preserve">OPDS 9</w:t>
            </w:r>
          </w:p>
        </w:tc>
        <w:tc>
          <w:tcPr>
            <w:shd w:fill="D9D9D9" w:color="auto" w:val="clear"/>
          </w:tcPr>
          <w:p>
            <w:r>
              <w:t xml:space="preserve">OPDS 10</w:t>
            </w:r>
          </w:p>
        </w:tc>
        <w:tc>
          <w:tcPr>
            <w:shd w:fill="D9D9D9" w:color="auto" w:val="clear"/>
          </w:tcPr>
          <w:p>
            <w:r>
              <w:t xml:space="preserve">OPDS 11</w:t>
            </w:r>
          </w:p>
        </w:tc>
        <w:tc>
          <w:tcPr>
            <w:shd w:fill="D9D9D9" w:color="auto" w:val="clear"/>
          </w:tcPr>
          <w:p>
            <w:r>
              <w:t xml:space="preserve">OPDS 12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N° Protocolo OPDS</w:t>
            </w:r>
          </w:p>
        </w:tc>
        <w:tc>
          <w:tcPr>
            <w:shd w:fill="D9D9D9" w:color="auto" w:val="clear"/>
          </w:tcPr>
          <w:p>
            <w:r>
              <w:t xml:space="preserve">OPDS 11</w:t>
            </w:r>
          </w:p>
        </w:tc>
        <w:tc>
          <w:tcPr>
            <w:shd w:fill="D9D9D9" w:color="auto" w:val="clear"/>
          </w:tcPr>
          <w:p>
            <w:r>
              <w:t xml:space="preserve">OPDS 12</w:t>
            </w:r>
          </w:p>
        </w:tc>
        <w:tc>
          <w:tcPr>
            <w:shd w:fill="D9D9D9" w:color="auto" w:val="clear"/>
          </w:tcPr>
          <w:p>
            <w:r>
              <w:t xml:space="preserve">OPDS 13</w:t>
            </w:r>
          </w:p>
        </w:tc>
        <w:tc>
          <w:tcPr>
            <w:shd w:fill="D9D9D9" w:color="auto" w:val="clear"/>
          </w:tcPr>
          <w:p>
            <w:r>
              <w:t xml:space="preserve">OPDS 14</w:t>
            </w:r>
          </w:p>
        </w:tc>
        <w:tc>
          <w:tcPr>
            <w:shd w:fill="D9D9D9" w:color="auto" w:val="clear"/>
          </w:tcPr>
          <w:p>
            <w:r>
              <w:t xml:space="preserve">OPDS 15</w:t>
            </w:r>
          </w:p>
        </w:tc>
        <w:tc>
          <w:tcPr>
            <w:shd w:fill="D9D9D9" w:color="auto" w:val="clear"/>
          </w:tcPr>
          <w:p>
            <w:r>
              <w:t xml:space="preserve">OPDS 16</w:t>
            </w:r>
          </w:p>
        </w:tc>
        <w:tc>
          <w:tcPr>
            <w:shd w:fill="D9D9D9" w:color="auto" w:val="clear"/>
          </w:tcPr>
          <w:p>
            <w:r>
              <w:t xml:space="preserve">OPDS 17</w:t>
            </w:r>
          </w:p>
        </w:tc>
        <w:tc>
          <w:tcPr>
            <w:shd w:fill="D9D9D9" w:color="auto" w:val="clear"/>
          </w:tcPr>
          <w:p>
            <w:r>
              <w:t xml:space="preserve">OPDS 18</w:t>
            </w:r>
          </w:p>
        </w:tc>
        <w:tc>
          <w:tcPr>
            <w:shd w:fill="D9D9D9" w:color="auto" w:val="clear"/>
          </w:tcPr>
          <w:p>
            <w:r>
              <w:t xml:space="preserve">OPDS 19</w:t>
            </w:r>
          </w:p>
        </w:tc>
        <w:tc>
          <w:tcPr>
            <w:shd w:fill="D9D9D9" w:color="auto" w:val="clear"/>
          </w:tcPr>
          <w:p>
            <w:r>
              <w:t xml:space="preserve">OPDS 20</w:t>
            </w:r>
          </w:p>
        </w:tc>
        <w:tc>
          <w:tcPr>
            <w:shd w:fill="D9D9D9" w:color="auto" w:val="clear"/>
          </w:tcPr>
          <w:p>
            <w:r>
              <w:t xml:space="preserve">OPDS 21</w:t>
            </w:r>
          </w:p>
        </w:tc>
        <w:tc>
          <w:tcPr>
            <w:shd w:fill="D9D9D9" w:color="auto" w:val="clear"/>
          </w:tcPr>
          <w:p>
            <w:r>
              <w:t xml:space="preserve">OPDS 22</w:t>
            </w:r>
          </w:p>
        </w:tc>
      </w:tr>
      <w:tr>
        <w:tc>
          <w:tcPr>
            <w:tcW w:type="pct" w:w="15%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Sustancia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LC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UM</w:t>
            </w:r>
          </w:p>
        </w:tc>
        <w:tc>
          <w:tcPr>
            <w:shd w:fill="D9D9D9" w:color="auto" w:val="clear"/>
          </w:tcPr>
          <w:p>
            <w:r>
              <w:t xml:space="preserve">MA PZ1/1</w:t>
            </w:r>
          </w:p>
        </w:tc>
        <w:tc>
          <w:tcPr>
            <w:shd w:fill="D9D9D9" w:color="auto" w:val="clear"/>
          </w:tcPr>
          <w:p>
            <w:r>
              <w:t xml:space="preserve">MA PZ2/1</w:t>
            </w:r>
          </w:p>
        </w:tc>
        <w:tc>
          <w:tcPr>
            <w:shd w:fill="D9D9D9" w:color="auto" w:val="clear"/>
          </w:tcPr>
          <w:p>
            <w:r>
              <w:t xml:space="preserve">MA PZ3/1</w:t>
            </w:r>
          </w:p>
        </w:tc>
        <w:tc>
          <w:tcPr>
            <w:shd w:fill="D9D9D9" w:color="auto" w:val="clear"/>
          </w:tcPr>
          <w:p>
            <w:r>
              <w:t xml:space="preserve">MA PZ4/1</w:t>
            </w:r>
          </w:p>
        </w:tc>
        <w:tc>
          <w:tcPr>
            <w:shd w:fill="D9D9D9" w:color="auto" w:val="clear"/>
          </w:tcPr>
          <w:p>
            <w:r>
              <w:t xml:space="preserve">MA PZ5/1</w:t>
            </w:r>
          </w:p>
        </w:tc>
        <w:tc>
          <w:tcPr>
            <w:shd w:fill="D9D9D9" w:color="auto" w:val="clear"/>
          </w:tcPr>
          <w:p>
            <w:r>
              <w:t xml:space="preserve">MA PZ6/1</w:t>
            </w:r>
          </w:p>
        </w:tc>
        <w:tc>
          <w:tcPr>
            <w:shd w:fill="D9D9D9" w:color="auto" w:val="clear"/>
          </w:tcPr>
          <w:p>
            <w:r>
              <w:t xml:space="preserve">MA PZ7/1</w:t>
            </w:r>
          </w:p>
        </w:tc>
        <w:tc>
          <w:tcPr>
            <w:shd w:fill="D9D9D9" w:color="auto" w:val="clear"/>
          </w:tcPr>
          <w:p>
            <w:r>
              <w:t xml:space="preserve">MA PZ8/1</w:t>
            </w:r>
          </w:p>
        </w:tc>
        <w:tc>
          <w:tcPr>
            <w:shd w:fill="D9D9D9" w:color="auto" w:val="clear"/>
          </w:tcPr>
          <w:p>
            <w:r>
              <w:t xml:space="preserve">MA PZ9/1</w:t>
            </w:r>
          </w:p>
        </w:tc>
        <w:tc>
          <w:tcPr>
            <w:shd w:fill="D9D9D9" w:color="auto" w:val="clear"/>
          </w:tcPr>
          <w:p>
            <w:r>
              <w:t xml:space="preserve">MA PZ10/1</w:t>
            </w:r>
          </w:p>
        </w:tc>
        <w:tc>
          <w:tcPr>
            <w:shd w:fill="D9D9D9" w:color="auto" w:val="clear"/>
          </w:tcPr>
          <w:p>
            <w:r>
              <w:t xml:space="preserve">MA PZ11/1</w:t>
            </w:r>
          </w:p>
        </w:tc>
        <w:tc>
          <w:tcPr>
            <w:shd w:fill="D9D9D9" w:color="auto" w:val="clear"/>
          </w:tcPr>
          <w:p>
            <w:r>
              <w:t xml:space="preserve">MA PZ12/1</w:t>
            </w:r>
          </w:p>
        </w:tc>
      </w:tr>
      <w:tr>
        <w:tc>
          <w:p>
            <w:r>
              <w:t xml:space="preserve">HTP</w:t>
            </w:r>
          </w:p>
        </w:tc>
        <w:tc>
          <w:p>
            <w:r>
              <w:t xml:space="preserve">0.005</w:t>
            </w:r>
          </w:p>
        </w:tc>
        <w:tc>
          <w:p>
            <w:r>
              <w:t xml:space="preserve">mg/L</w:t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NL</w:t>
            </w:r>
          </w:p>
        </w:tc>
        <w:tc>
          <w:p>
            <w:r>
              <w:t xml:space="preserve">0.001</w:t>
            </w:r>
          </w:p>
        </w:tc>
        <w:tc>
          <w:p>
            <w:r>
              <w:t xml:space="preserve">0.002</w:t>
            </w:r>
          </w:p>
        </w:tc>
        <w:tc>
          <w:p>
            <w:r>
              <w:t xml:space="preserve">0.003</w:t>
            </w:r>
          </w:p>
        </w:tc>
        <w:tc>
          <w:p>
            <w:r>
              <w:t xml:space="preserve">0.004</w:t>
            </w:r>
          </w:p>
        </w:tc>
        <w:tc>
          <w:p>
            <w:r>
              <w:t xml:space="preserve">0.005</w:t>
            </w:r>
          </w:p>
        </w:tc>
        <w:tc>
          <w:p>
            <w:r>
              <w:t xml:space="preserve">0.006</w:t>
            </w:r>
          </w:p>
        </w:tc>
        <w:tc>
          <w:p>
            <w:r>
              <w:t xml:space="preserve">0.007</w:t>
            </w:r>
          </w:p>
        </w:tc>
        <w:tc>
          <w:p>
            <w:r>
              <w:t xml:space="preserve">0.008</w:t>
            </w:r>
          </w:p>
        </w:tc>
        <w:tc>
          <w:p>
            <w:r>
              <w:t xml:space="preserve">0.09</w:t>
            </w:r>
          </w:p>
        </w:tc>
        <w:tc>
          <w:p>
            <w:r>
              <w:t xml:space="preserve">0.08</w:t>
            </w:r>
          </w:p>
        </w:tc>
      </w:tr>
      <w:tr>
        <w:tc>
          <w:p>
            <w:r>
              <w:t xml:space="preserve">GRO</w:t>
            </w:r>
          </w:p>
        </w:tc>
        <w:tc>
          <w:p>
            <w:r>
              <w:t xml:space="preserve">0.010</w:t>
            </w:r>
          </w:p>
        </w:tc>
        <w:tc>
          <w:p>
            <w:r>
              <w:t xml:space="preserve">mg/L</w:t>
            </w:r>
          </w:p>
        </w:tc>
        <w:tc>
          <w:p>
            <w:r>
              <w:t xml:space="preserve">0.03</w:t>
            </w:r>
          </w:p>
        </w:tc>
        <w:tc>
          <w:p>
            <w:r>
              <w:t xml:space="preserve">0.02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0.11</w:t>
            </w:r>
          </w:p>
        </w:tc>
        <w:tc>
          <w:p>
            <w:r>
              <w:t xml:space="preserve">0.12</w:t>
            </w:r>
          </w:p>
        </w:tc>
      </w:tr>
    </w:tbl>
    <w:p>
      <w:r>
        <w:t xml:space="preserve"/>
      </w:r>
    </w:p>
    <w:sectPr>
      <w:headerReference w:type="default" r:id="rId6"/>
      <w:pgSz w:w="16838" w:h="11906" w:orient="landscape"/>
      <w:pgMar w:top="1440" w:right="850" w:bottom="1440" w:left="1134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sz w:val="20"/>
        <w:szCs w:val="20"/>
        <w:rFonts w:ascii="Times New Roman" w:cs="Times New Roman" w:eastAsia="Times New Roman" w:hAnsi="Times New Roman"/>
      </w:rPr>
      <w:t xml:space="preserve">Proyecto 201894-153 / Anexo BfU de Argentina S.A.					Anexo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análisis</dc:title>
  <dc:creator>Netrona</dc:creator>
  <dc:description>Informe generado automáticamente por BFU Protocol Manager</dc:description>
  <cp:lastModifiedBy>Un-named</cp:lastModifiedBy>
  <cp:revision>1</cp:revision>
  <dcterms:created xsi:type="dcterms:W3CDTF">2025-04-05T01:24:44.503Z</dcterms:created>
  <dcterms:modified xsi:type="dcterms:W3CDTF">2025-04-05T01:24:44.504Z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