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Fecha de muestreo</w:t>
            </w:r>
          </w:p>
        </w:tc>
        <w:tc>
          <w:tcPr>
            <w:gridSpan w:val="7"/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vMerge w:val="restart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Nivel</w:t>
            </w:r>
            <w:r>
              <w:br/>
            </w:r>
            <w:r>
              <w:t xml:space="preserve">Guía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Laboratorio</w:t>
            </w:r>
          </w:p>
        </w:tc>
        <w:tc>
          <w:tcPr>
            <w:gridSpan w:val="7"/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vMerge w:val="continue"/>
          </w:tcPr>
          <w:p/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N° Cadena custodia OPDS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2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3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5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6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7</w:t>
            </w:r>
          </w:p>
        </w:tc>
        <w:tc>
          <w:tcPr>
            <w:vMerge w:val="continue"/>
          </w:tcPr>
          <w:p/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N° Protocolo OPDS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12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13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15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16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17</w:t>
            </w:r>
          </w:p>
        </w:tc>
        <w:tc>
          <w:tcPr>
            <w:vMerge w:val="continue"/>
          </w:tcPr>
          <w:p/>
        </w:tc>
      </w:tr>
      <w:tr>
        <w:tc>
          <w:tcPr>
            <w:tcW w:type="pct" w:w="15%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Sustancia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LC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UM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PZ1/1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PZ2/1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PZ3/1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PZ4/1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PZ5/1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PZ6/1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PZ7/1</w:t>
            </w:r>
          </w:p>
        </w:tc>
        <w:tc>
          <w:tcPr>
            <w:vMerge w:val="continue"/>
            <w:shd w:fill="D9D9D9" w:color="auto" w:val="clear"/>
          </w:tcPr>
          <w:p/>
        </w:tc>
      </w:tr>
      <w:tr>
        <w:tc>
          <w:p>
            <w:pPr>
              <w:jc w:val="left"/>
            </w:pPr>
            <w:r>
              <w:t xml:space="preserve">HTP</w:t>
            </w:r>
          </w:p>
        </w:tc>
        <w:tc>
          <w:p>
            <w:pPr>
              <w:jc w:val="center"/>
            </w:pPr>
            <w:r>
              <w:t xml:space="preserve">0.005</w:t>
            </w:r>
          </w:p>
        </w:tc>
        <w:tc>
          <w:p>
            <w:pPr>
              <w:jc w:val="center"/>
            </w:pPr>
            <w:r>
              <w:t xml:space="preserve">mg/L</w:t>
            </w:r>
          </w:p>
        </w:tc>
        <w:tc>
          <w:p>
            <w:pPr>
              <w:jc w:val="center"/>
            </w:pPr>
            <w:r>
              <w:t xml:space="preserve">NC</w:t>
            </w:r>
          </w:p>
        </w:tc>
        <w:tc>
          <w:p>
            <w:pPr>
              <w:jc w:val="center"/>
            </w:pPr>
            <w:r>
              <w:t xml:space="preserve">NL</w:t>
            </w:r>
          </w:p>
        </w:tc>
        <w:tc>
          <w:p>
            <w:pPr>
              <w:jc w:val="center"/>
            </w:pPr>
            <w:r>
              <w:t xml:space="preserve">0.001</w:t>
            </w:r>
          </w:p>
        </w:tc>
        <w:tc>
          <w:p>
            <w:pPr>
              <w:jc w:val="center"/>
            </w:pPr>
            <w:r>
              <w:t xml:space="preserve">0.002</w:t>
            </w:r>
          </w:p>
        </w:tc>
        <w:tc>
          <w:p>
            <w:pPr>
              <w:jc w:val="center"/>
            </w:pPr>
            <w:r>
              <w:t xml:space="preserve">0.003</w:t>
            </w:r>
          </w:p>
        </w:tc>
        <w:tc>
          <w:p>
            <w:pPr>
              <w:jc w:val="center"/>
            </w:pPr>
            <w:r>
              <w:t xml:space="preserve">0.004</w:t>
            </w:r>
          </w:p>
        </w:tc>
        <w:tc>
          <w:p>
            <w:pPr>
              <w:jc w:val="center"/>
            </w:pPr>
            <w:r>
              <w:t xml:space="preserve">0.005</w:t>
            </w:r>
          </w:p>
        </w:tc>
        <w:tc>
          <w:p>
            <w:pPr>
              <w:jc w:val="center"/>
            </w:pPr>
            <w:r>
              <w:t xml:space="preserve">0.005</w:t>
            </w:r>
          </w:p>
        </w:tc>
      </w:tr>
      <w:tr>
        <w:tc>
          <w:p>
            <w:pPr>
              <w:jc w:val="left"/>
            </w:pPr>
            <w:r>
              <w:t xml:space="preserve">GRO</w:t>
            </w:r>
          </w:p>
        </w:tc>
        <w:tc>
          <w:p>
            <w:pPr>
              <w:jc w:val="center"/>
            </w:pPr>
            <w:r>
              <w:t xml:space="preserve">0.010</w:t>
            </w:r>
          </w:p>
        </w:tc>
        <w:tc>
          <w:p>
            <w:pPr>
              <w:jc w:val="center"/>
            </w:pPr>
            <w:r>
              <w:t xml:space="preserve">mg/L</w:t>
            </w:r>
          </w:p>
        </w:tc>
        <w:tc>
          <w:p>
            <w:pPr>
              <w:jc w:val="center"/>
            </w:pPr>
            <w:r>
              <w:t xml:space="preserve">0.03</w:t>
            </w:r>
          </w:p>
        </w:tc>
        <w:tc>
          <w:p>
            <w:pPr>
              <w:jc w:val="center"/>
            </w:pPr>
            <w:r>
              <w:t xml:space="preserve">0.02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  <w:tc>
          <w:p>
            <w:pPr>
              <w:jc w:val="center"/>
            </w:pPr>
            <w:r>
              <w:t xml:space="preserve">0.010</w:t>
            </w:r>
          </w:p>
        </w:tc>
      </w:tr>
    </w:tbl>
    <w:p>
      <w:pPr>
        <w:spacing w:after="100"/>
      </w:pPr>
      <w:r>
        <w:rPr>
          <w:sz w:val="20"/>
          <w:szCs w:val="20"/>
          <w:rFonts w:ascii="Times New Roman" w:cs="Times New Roman" w:eastAsia="Times New Roman" w:hAnsi="Times New Roman"/>
        </w:rPr>
        <w:t xml:space="preserve">Tabla 1a: (1/2) Resultados de análisis sobre agua subterránea. LC: límite de cuantificación del método. NC: no cuantificado. NL: no legislado.</w:t>
      </w:r>
    </w:p>
    <w:p>
      <w:r>
        <w:t xml:space="preserve"/>
      </w:r>
    </w:p>
    <w:p>
      <w:pPr>
        <w:sectPr>
          <w:headerReference w:type="default" r:id="rId6"/>
          <w:pgSz w:w="16838" w:h="11906" w:orient="landscape"/>
          <w:pgMar w:top="1440" w:right="850" w:bottom="1440" w:left="1134" w:header="708" w:footer="708" w:gutter="0"/>
          <w:pgNumType/>
          <w:docGrid w:linePitch="360"/>
        </w:sect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Fecha de muestreo</w:t>
            </w:r>
          </w:p>
        </w:tc>
        <w:tc>
          <w:tcPr>
            <w:gridSpan w:val="7"/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vMerge w:val="restart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Nivel</w:t>
            </w:r>
            <w:r>
              <w:br/>
            </w:r>
            <w:r>
              <w:t xml:space="preserve">Guía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Laboratorio</w:t>
            </w:r>
          </w:p>
        </w:tc>
        <w:tc>
          <w:tcPr>
            <w:gridSpan w:val="7"/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vMerge w:val="continue"/>
          </w:tcPr>
          <w:p/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N° Cadena custodia OPDS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8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9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10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12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13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14</w:t>
            </w:r>
          </w:p>
        </w:tc>
        <w:tc>
          <w:tcPr>
            <w:vMerge w:val="continue"/>
          </w:tcPr>
          <w:p/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N° Protocolo OPDS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18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19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20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21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22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23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24</w:t>
            </w:r>
          </w:p>
        </w:tc>
        <w:tc>
          <w:tcPr>
            <w:vMerge w:val="continue"/>
          </w:tcPr>
          <w:p/>
        </w:tc>
      </w:tr>
      <w:tr>
        <w:tc>
          <w:tcPr>
            <w:tcW w:type="pct" w:w="15%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Sustancia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LC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UM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PZ8/1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PZ9/1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PZ10/1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PZ11/1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PZ12/1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PZ13/1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PZ14/1</w:t>
            </w:r>
          </w:p>
        </w:tc>
        <w:tc>
          <w:tcPr>
            <w:vMerge w:val="continue"/>
            <w:shd w:fill="D9D9D9" w:color="auto" w:val="clear"/>
          </w:tcPr>
          <w:p/>
        </w:tc>
      </w:tr>
      <w:tr>
        <w:tc>
          <w:p>
            <w:pPr>
              <w:jc w:val="left"/>
            </w:pPr>
            <w:r>
              <w:t xml:space="preserve">HTP</w:t>
            </w:r>
          </w:p>
        </w:tc>
        <w:tc>
          <w:p>
            <w:pPr>
              <w:jc w:val="center"/>
            </w:pPr>
            <w:r>
              <w:t xml:space="preserve">0.005</w:t>
            </w:r>
          </w:p>
        </w:tc>
        <w:tc>
          <w:p>
            <w:pPr>
              <w:jc w:val="center"/>
            </w:pPr>
            <w:r>
              <w:t xml:space="preserve">mg/L</w:t>
            </w:r>
          </w:p>
        </w:tc>
        <w:tc>
          <w:p>
            <w:pPr>
              <w:jc w:val="center"/>
            </w:pPr>
            <w:r>
              <w:t xml:space="preserve">0.006</w:t>
            </w:r>
          </w:p>
        </w:tc>
        <w:tc>
          <w:p>
            <w:pPr>
              <w:jc w:val="center"/>
            </w:pPr>
            <w:r>
              <w:t xml:space="preserve">0.007</w:t>
            </w:r>
          </w:p>
        </w:tc>
        <w:tc>
          <w:p>
            <w:pPr>
              <w:jc w:val="center"/>
            </w:pPr>
            <w:r>
              <w:t xml:space="preserve">0.008</w:t>
            </w:r>
          </w:p>
        </w:tc>
        <w:tc>
          <w:p>
            <w:pPr>
              <w:jc w:val="center"/>
            </w:pPr>
            <w:r>
              <w:t xml:space="preserve">0.09</w:t>
            </w:r>
          </w:p>
        </w:tc>
        <w:tc>
          <w:p>
            <w:pPr>
              <w:jc w:val="center"/>
            </w:pPr>
            <w:r>
              <w:t xml:space="preserve">0.08</w:t>
            </w:r>
          </w:p>
        </w:tc>
        <w:tc>
          <w:p>
            <w:pPr>
              <w:jc w:val="center"/>
            </w:pPr>
            <w:r>
              <w:t xml:space="preserve">0.08</w:t>
            </w:r>
          </w:p>
        </w:tc>
        <w:tc>
          <w:p>
            <w:pPr>
              <w:jc w:val="center"/>
            </w:pPr>
            <w:r>
              <w:t xml:space="preserve">0.08</w:t>
            </w:r>
          </w:p>
        </w:tc>
        <w:tc>
          <w:p>
            <w:pPr>
              <w:jc w:val="center"/>
            </w:pPr>
            <w:r>
              <w:t xml:space="preserve">0.005</w:t>
            </w:r>
          </w:p>
        </w:tc>
      </w:tr>
      <w:tr>
        <w:tc>
          <w:p>
            <w:pPr>
              <w:jc w:val="left"/>
            </w:pPr>
            <w:r>
              <w:t xml:space="preserve">GRO</w:t>
            </w:r>
          </w:p>
        </w:tc>
        <w:tc>
          <w:p>
            <w:pPr>
              <w:jc w:val="center"/>
            </w:pPr>
            <w:r>
              <w:t xml:space="preserve">0.010</w:t>
            </w:r>
          </w:p>
        </w:tc>
        <w:tc>
          <w:p>
            <w:pPr>
              <w:jc w:val="center"/>
            </w:pPr>
            <w:r>
              <w:t xml:space="preserve">mg/L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  <w:tc>
          <w:p>
            <w:pPr>
              <w:jc w:val="center"/>
            </w:pPr>
            <w:r>
              <w:t xml:space="preserve">0.11</w:t>
            </w:r>
          </w:p>
        </w:tc>
        <w:tc>
          <w:p>
            <w:pPr>
              <w:jc w:val="center"/>
            </w:pPr>
            <w:r>
              <w:t xml:space="preserve">0.12</w:t>
            </w:r>
          </w:p>
        </w:tc>
        <w:tc>
          <w:p>
            <w:pPr>
              <w:jc w:val="center"/>
            </w:pPr>
            <w:r>
              <w:t xml:space="preserve">0.13</w:t>
            </w:r>
          </w:p>
        </w:tc>
        <w:tc>
          <w:p>
            <w:pPr>
              <w:jc w:val="center"/>
            </w:pPr>
            <w:r>
              <w:t xml:space="preserve">0.14</w:t>
            </w:r>
          </w:p>
        </w:tc>
        <w:tc>
          <w:p>
            <w:pPr>
              <w:jc w:val="center"/>
            </w:pPr>
            <w:r>
              <w:t xml:space="preserve">0.010</w:t>
            </w:r>
          </w:p>
        </w:tc>
      </w:tr>
    </w:tbl>
    <w:p>
      <w:pPr>
        <w:spacing w:after="100"/>
      </w:pPr>
      <w:r>
        <w:rPr>
          <w:sz w:val="20"/>
          <w:szCs w:val="20"/>
          <w:rFonts w:ascii="Times New Roman" w:cs="Times New Roman" w:eastAsia="Times New Roman" w:hAnsi="Times New Roman"/>
        </w:rPr>
        <w:t xml:space="preserve">Tabla 1a: (2/2) Resultados de análisis sobre agua subterránea. LC: límite de cuantificación del método. NC: no cuantificado. NL: no legislado.</w:t>
      </w:r>
    </w:p>
    <w:p>
      <w:r>
        <w:t xml:space="preserve"/>
      </w:r>
    </w:p>
    <w:sectPr>
      <w:headerReference w:type="default" r:id="rId7"/>
      <w:pgSz w:w="16838" w:h="11906" w:orient="landscape"/>
      <w:pgMar w:top="1440" w:right="850" w:bottom="1440" w:left="1134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sz w:val="20"/>
        <w:szCs w:val="20"/>
        <w:rFonts w:ascii="Times New Roman" w:cs="Times New Roman" w:eastAsia="Times New Roman" w:hAnsi="Times New Roman"/>
      </w:rPr>
      <w:t xml:space="preserve">Proyecto 201894-153 / Anexo BfU de Argentina S.A.					Anexo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sz w:val="20"/>
        <w:szCs w:val="20"/>
        <w:rFonts w:ascii="Times New Roman" w:cs="Times New Roman" w:eastAsia="Times New Roman" w:hAnsi="Times New Roman"/>
      </w:rPr>
      <w:t xml:space="preserve">Proyecto 201894-153 / Anexo BfU de Argentina S.A.					Anexo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análisis</dc:title>
  <dc:creator>Netrona</dc:creator>
  <dc:description>Informe generado automáticamente por BFU Protocol Manager</dc:description>
  <cp:lastModifiedBy>Un-named</cp:lastModifiedBy>
  <cp:revision>1</cp:revision>
  <dcterms:created xsi:type="dcterms:W3CDTF">2025-04-05T18:47:08.560Z</dcterms:created>
  <dcterms:modified xsi:type="dcterms:W3CDTF">2025-04-05T18:47:08.561Z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