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2A47"/>
          <w:sz w:val="48"/>
          <w:szCs w:val="48"/>
        </w:rPr>
        <w:t xml:space="preserve">RESUMO EXECUTIVO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6DA4"/>
          <w:sz w:val="32"/>
          <w:szCs w:val="32"/>
        </w:rPr>
        <w:t xml:space="preserve">EDA — Atendimento e Cliente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5A646E"/>
          <w:sz w:val="24"/>
          <w:szCs w:val="24"/>
        </w:rPr>
        <w:t xml:space="preserve">Tech Challenge NPS · Fase 1</w:t>
      </w:r>
    </w:p>
    <w:p>
      <w:pPr>
        <w:spacing w:after="800" w:before="0"/>
      </w:pPr>
      <w:r>
        <w:t xml:space="preserve"/>
      </w:r>
    </w:p>
    <w:p>
      <w:pPr>
        <w:pBdr>
          <w:bottom w:val="single" w:color="2E6DA4" w:sz="6" w:space="1"/>
        </w:pBdr>
        <w:spacing w:after="200" w:before="0"/>
        <w:jc w:val="center"/>
      </w:pPr>
      <w:r>
        <w:t xml:space="preserve"/>
      </w:r>
    </w:p>
    <w:p>
      <w:pPr>
        <w:spacing w:after="40" w:before="80"/>
        <w:jc w:val="center"/>
      </w:pPr>
      <w:r>
        <w:rPr>
          <w:rFonts w:ascii="Arial" w:cs="Arial" w:eastAsia="Arial" w:hAnsi="Arial"/>
          <w:color w:val="5A646E"/>
          <w:sz w:val="22"/>
          <w:szCs w:val="22"/>
        </w:rPr>
        <w:t xml:space="preserve">Gustavo Pietro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5A646E"/>
          <w:sz w:val="20"/>
          <w:szCs w:val="20"/>
        </w:rPr>
        <w:t xml:space="preserve">Pós-graduação FIAP · 2025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2E6DA4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2A47"/>
          <w:sz w:val="28"/>
          <w:szCs w:val="28"/>
        </w:rPr>
        <w:t xml:space="preserve">1. Objetivo</w:t>
      </w:r>
    </w:p>
    <w:p>
      <w:pPr>
        <w:spacing w:after="60" w:before="60"/>
      </w:pPr>
      <w:r>
        <w:rPr>
          <w:rFonts w:ascii="Arial" w:cs="Arial" w:eastAsia="Arial" w:hAnsi="Arial"/>
          <w:color w:val="1B2A47"/>
          <w:sz w:val="22"/>
          <w:szCs w:val="22"/>
        </w:rPr>
        <w:t xml:space="preserve">Esta análise exploratória tem como finalidade identificar os principais fatores associados à insatisfação de clientes, medida pelo NPS (Net Promoter Score), a partir de uma base de 2.500 registros contendo variáveis de atendimento, logística e comportamento de compra.</w:t>
      </w:r>
    </w:p>
    <w:p>
      <w:pPr>
        <w:spacing w:after="60" w:before="60"/>
      </w:pPr>
      <w:r>
        <w:rPr>
          <w:rFonts w:ascii="Arial" w:cs="Arial" w:eastAsia="Arial" w:hAnsi="Arial"/>
          <w:color w:val="1B2A47"/>
          <w:sz w:val="22"/>
          <w:szCs w:val="22"/>
        </w:rPr>
        <w:t xml:space="preserve">Os resultados sustentam decisões operacionais imediatas para redução de detratores e priorização de casos críticos.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6DA4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2A47"/>
          <w:sz w:val="28"/>
          <w:szCs w:val="28"/>
        </w:rPr>
        <w:t xml:space="preserve">2. Base de Dados</w:t>
      </w:r>
    </w:p>
    <w:p>
      <w:pPr>
        <w:spacing w:after="60" w:before="60"/>
      </w:pPr>
      <w:r>
        <w:rPr>
          <w:rFonts w:ascii="Arial" w:cs="Arial" w:eastAsia="Arial" w:hAnsi="Arial"/>
          <w:color w:val="1B2A4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2A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468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2A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2A47"/>
                <w:sz w:val="20"/>
                <w:szCs w:val="20"/>
              </w:rPr>
              <w:t xml:space="preserve">Volume de registros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2A47"/>
                <w:sz w:val="20"/>
                <w:szCs w:val="20"/>
              </w:rPr>
              <w:t xml:space="preserve">2.500 clientes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2A47"/>
                <w:sz w:val="20"/>
                <w:szCs w:val="20"/>
              </w:rPr>
              <w:t xml:space="preserve">Número de variáveis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2A47"/>
                <w:sz w:val="20"/>
                <w:szCs w:val="20"/>
              </w:rPr>
              <w:t xml:space="preserve">19 colunas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2A47"/>
                <w:sz w:val="20"/>
                <w:szCs w:val="20"/>
              </w:rPr>
              <w:t xml:space="preserve">Variável-alvo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2A47"/>
                <w:sz w:val="20"/>
                <w:szCs w:val="20"/>
              </w:rPr>
              <w:t xml:space="preserve">nps_score (0–10)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2A47"/>
                <w:sz w:val="20"/>
                <w:szCs w:val="20"/>
              </w:rPr>
              <w:t xml:space="preserve">Período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2A47"/>
                <w:sz w:val="20"/>
                <w:szCs w:val="20"/>
              </w:rPr>
              <w:t xml:space="preserve">Fase 1 — Tech Challenge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6DA4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2A47"/>
          <w:sz w:val="28"/>
          <w:szCs w:val="28"/>
        </w:rPr>
        <w:t xml:space="preserve">3. Metodologia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Classificação NPS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2A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468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2A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2A47"/>
                <w:sz w:val="20"/>
                <w:szCs w:val="20"/>
              </w:rPr>
              <w:t xml:space="preserve">Detrator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2A47"/>
                <w:sz w:val="20"/>
                <w:szCs w:val="20"/>
              </w:rPr>
              <w:t xml:space="preserve">Nota de 0 a 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2A47"/>
                <w:sz w:val="20"/>
                <w:szCs w:val="20"/>
              </w:rPr>
              <w:t xml:space="preserve">Neutro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2A47"/>
                <w:sz w:val="20"/>
                <w:szCs w:val="20"/>
              </w:rPr>
              <w:t xml:space="preserve">Nota maior que 6 e menor que 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2A47"/>
                <w:sz w:val="20"/>
                <w:szCs w:val="20"/>
              </w:rPr>
              <w:t xml:space="preserve">Promotor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2A47"/>
                <w:sz w:val="20"/>
                <w:szCs w:val="20"/>
              </w:rPr>
              <w:t xml:space="preserve">Nota igual ou maior que 9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Técnicas Aplicadas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B2A47"/>
          <w:sz w:val="22"/>
          <w:szCs w:val="22"/>
        </w:rPr>
        <w:t xml:space="preserve">Análise descritiva por faixa de variável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B2A47"/>
          <w:sz w:val="22"/>
          <w:szCs w:val="22"/>
        </w:rPr>
        <w:t xml:space="preserve">Correlação de Spearman entre variáveis e nps_score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B2A47"/>
          <w:sz w:val="22"/>
          <w:szCs w:val="22"/>
        </w:rPr>
        <w:t xml:space="preserve">Teste estatístico para diferença regional (Kruskal-Wallis)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B2A47"/>
          <w:sz w:val="22"/>
          <w:szCs w:val="22"/>
        </w:rPr>
        <w:t xml:space="preserve">Construção de score de risco composto (0–3)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6DA4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2A47"/>
          <w:sz w:val="28"/>
          <w:szCs w:val="28"/>
        </w:rPr>
        <w:t xml:space="preserve">4. Principais Achados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4.1 Reclamações × NPS</w:t>
      </w:r>
    </w:p>
    <w:p>
      <w:pPr>
        <w:spacing w:after="60" w:before="60"/>
      </w:pPr>
      <w:r>
        <w:rPr>
          <w:rFonts w:ascii="Arial" w:cs="Arial" w:eastAsia="Arial" w:hAnsi="Arial"/>
          <w:color w:val="1B2A47"/>
          <w:sz w:val="22"/>
          <w:szCs w:val="22"/>
        </w:rPr>
        <w:t xml:space="preserve">O volume de reclamações é o fator com maior impacto direto na proporção de detratores identificado na análise.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2A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Faixa de Reclamações</w:t>
            </w:r>
          </w:p>
        </w:tc>
        <w:tc>
          <w:tcPr>
            <w:tcW w:type="dxa" w:w="312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2A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Detratores</w:t>
            </w:r>
          </w:p>
        </w:tc>
        <w:tc>
          <w:tcPr>
            <w:tcW w:type="dxa" w:w="312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2A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2A47"/>
                <w:sz w:val="20"/>
                <w:szCs w:val="20"/>
              </w:rPr>
              <w:t xml:space="preserve">3 a 5 reclamações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2A47"/>
                <w:sz w:val="20"/>
                <w:szCs w:val="20"/>
              </w:rPr>
              <w:t xml:space="preserve">78,79%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2A47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2A47"/>
                <w:sz w:val="20"/>
                <w:szCs w:val="20"/>
              </w:rPr>
              <w:t xml:space="preserve">6 ou mais reclamações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2A47"/>
                <w:sz w:val="20"/>
                <w:szCs w:val="20"/>
              </w:rPr>
              <w:t xml:space="preserve">94,50%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2A47"/>
                <w:sz w:val="20"/>
                <w:szCs w:val="20"/>
              </w:rPr>
              <w:t xml:space="preserve">CRÍTICO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4.2 Contatos com Atendimento × NPS</w:t>
      </w:r>
    </w:p>
    <w:p>
      <w:pPr>
        <w:spacing w:after="60" w:before="60"/>
      </w:pPr>
      <w:r>
        <w:rPr>
          <w:rFonts w:ascii="Arial" w:cs="Arial" w:eastAsia="Arial" w:hAnsi="Arial"/>
          <w:color w:val="1B2A47"/>
          <w:sz w:val="22"/>
          <w:szCs w:val="22"/>
        </w:rPr>
        <w:t xml:space="preserve">A partir do terceiro contato com o atendimento, o cliente já apresenta NPS médio próximo ao mínimo da escala.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2A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Contatos</w:t>
            </w:r>
          </w:p>
        </w:tc>
        <w:tc>
          <w:tcPr>
            <w:tcW w:type="dxa" w:w="312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2A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NPS Médio</w:t>
            </w:r>
          </w:p>
        </w:tc>
        <w:tc>
          <w:tcPr>
            <w:tcW w:type="dxa" w:w="312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2A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Detratores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2A47"/>
                <w:sz w:val="20"/>
                <w:szCs w:val="20"/>
              </w:rPr>
              <w:t xml:space="preserve">3 ou mais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2A47"/>
                <w:sz w:val="20"/>
                <w:szCs w:val="20"/>
              </w:rPr>
              <w:t xml:space="preserve">2,94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2A47"/>
                <w:sz w:val="20"/>
                <w:szCs w:val="20"/>
              </w:rPr>
              <w:t xml:space="preserve">90,41%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4.3 Tempo de Resolução × NPS</w:t>
      </w:r>
    </w:p>
    <w:p>
      <w:pPr>
        <w:spacing w:after="60" w:before="60"/>
      </w:pPr>
      <w:r>
        <w:rPr>
          <w:rFonts w:ascii="Arial" w:cs="Arial" w:eastAsia="Arial" w:hAnsi="Arial"/>
          <w:color w:val="1B2A47"/>
          <w:sz w:val="22"/>
          <w:szCs w:val="22"/>
        </w:rPr>
        <w:t xml:space="preserve">O tempo de resolução de chamados apresenta relação direta com a proporção de detratores. A análise indica dois pontos de escalonamento críticos.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2A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Tempo de Resolução</w:t>
            </w:r>
          </w:p>
        </w:tc>
        <w:tc>
          <w:tcPr>
            <w:tcW w:type="dxa" w:w="468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2A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Detratores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2A47"/>
                <w:sz w:val="20"/>
                <w:szCs w:val="20"/>
              </w:rPr>
              <w:t xml:space="preserve">Até 6 dias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2A47"/>
                <w:sz w:val="20"/>
                <w:szCs w:val="20"/>
              </w:rPr>
              <w:t xml:space="preserve">Risco moderado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2A47"/>
                <w:sz w:val="20"/>
                <w:szCs w:val="20"/>
              </w:rPr>
              <w:t xml:space="preserve">7 a 11 dias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2A47"/>
                <w:sz w:val="20"/>
                <w:szCs w:val="20"/>
              </w:rPr>
              <w:t xml:space="preserve">Risco elevado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2A47"/>
                <w:sz w:val="20"/>
                <w:szCs w:val="20"/>
              </w:rPr>
              <w:t xml:space="preserve">Acima de 11 dias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2A47"/>
                <w:sz w:val="20"/>
                <w:szCs w:val="20"/>
              </w:rPr>
              <w:t xml:space="preserve">84,11%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4.4 Score de Risco Composto</w:t>
      </w:r>
    </w:p>
    <w:p>
      <w:pPr>
        <w:spacing w:after="60" w:before="60"/>
      </w:pPr>
      <w:r>
        <w:rPr>
          <w:rFonts w:ascii="Arial" w:cs="Arial" w:eastAsia="Arial" w:hAnsi="Arial"/>
          <w:color w:val="1B2A47"/>
          <w:sz w:val="22"/>
          <w:szCs w:val="22"/>
        </w:rPr>
        <w:t xml:space="preserve">O score de risco foi construído como indicador consolidado para priorização operacional, combinando as variáveis de maior impacto.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2A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312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2A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Detratores</w:t>
            </w:r>
          </w:p>
        </w:tc>
        <w:tc>
          <w:tcPr>
            <w:tcW w:type="dxa" w:w="312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2A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 Sugerida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2A47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2A47"/>
                <w:sz w:val="20"/>
                <w:szCs w:val="20"/>
              </w:rPr>
              <w:t xml:space="preserve">Baixo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2A47"/>
                <w:sz w:val="20"/>
                <w:szCs w:val="20"/>
              </w:rPr>
              <w:t xml:space="preserve">Monitoramento padrão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2A47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2A47"/>
                <w:sz w:val="20"/>
                <w:szCs w:val="20"/>
              </w:rPr>
              <w:t xml:space="preserve">Moderado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2A47"/>
                <w:sz w:val="20"/>
                <w:szCs w:val="20"/>
              </w:rPr>
              <w:t xml:space="preserve">Acompanhamento proativo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2A47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2A47"/>
                <w:sz w:val="20"/>
                <w:szCs w:val="20"/>
              </w:rPr>
              <w:t xml:space="preserve">84,54%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2A47"/>
                <w:sz w:val="20"/>
                <w:szCs w:val="20"/>
              </w:rPr>
              <w:t xml:space="preserve">Priorização imediata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2A47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2A47"/>
                <w:sz w:val="20"/>
                <w:szCs w:val="20"/>
              </w:rPr>
              <w:t xml:space="preserve">97,34%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2A47"/>
                <w:sz w:val="20"/>
                <w:szCs w:val="20"/>
              </w:rPr>
              <w:t xml:space="preserve">Atuação urgente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4.5 Análise Regional</w:t>
      </w:r>
    </w:p>
    <w:p>
      <w:pPr>
        <w:spacing w:after="60" w:before="60"/>
      </w:pPr>
      <w:r>
        <w:rPr>
          <w:rFonts w:ascii="Arial" w:cs="Arial" w:eastAsia="Arial" w:hAnsi="Arial"/>
          <w:color w:val="1B2A47"/>
          <w:sz w:val="22"/>
          <w:szCs w:val="22"/>
        </w:rPr>
        <w:t xml:space="preserve">A variação do NPS médio entre regiões foi baixa e o teste estatístico (Kruskal-Wallis) não indicou diferença com relevância significativa (p &gt; 0,05).</w:t>
      </w:r>
    </w:p>
    <w:p>
      <w:pPr>
        <w:spacing w:after="60" w:before="60"/>
      </w:pPr>
      <w:r>
        <w:rPr>
          <w:rFonts w:ascii="Arial" w:cs="Arial" w:eastAsia="Arial" w:hAnsi="Arial"/>
          <w:color w:val="1B2A47"/>
          <w:sz w:val="22"/>
          <w:szCs w:val="22"/>
        </w:rPr>
        <w:t xml:space="preserve">Conclusão: a segmentação regional não deve ser prioridade de intervenção. Os drivers de insatisfação são transversais a todas as regiões.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6DA4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2A47"/>
          <w:sz w:val="28"/>
          <w:szCs w:val="28"/>
        </w:rPr>
        <w:t xml:space="preserve">5. Decisões Operacionais</w:t>
      </w:r>
    </w:p>
    <w:p>
      <w:pPr>
        <w:spacing w:after="60" w:before="60"/>
      </w:pPr>
      <w:r>
        <w:rPr>
          <w:rFonts w:ascii="Arial" w:cs="Arial" w:eastAsia="Arial" w:hAnsi="Arial"/>
          <w:color w:val="1B2A47"/>
          <w:sz w:val="22"/>
          <w:szCs w:val="22"/>
        </w:rPr>
        <w:t xml:space="preserve">Com base nos achados da EDA, as seguintes ações operacionais são sugeridas para implementação imediata: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2A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2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2A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312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2A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Gatilho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2A47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2A47"/>
                <w:sz w:val="20"/>
                <w:szCs w:val="20"/>
              </w:rPr>
              <w:t xml:space="preserve">Fila de recuperação de clientes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2A47"/>
                <w:sz w:val="20"/>
                <w:szCs w:val="20"/>
              </w:rPr>
              <w:t xml:space="preserve">3 ou mais reclamações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2A47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2A47"/>
                <w:sz w:val="20"/>
                <w:szCs w:val="20"/>
              </w:rPr>
              <w:t xml:space="preserve">Alerta e priorização humana no atendimento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2A47"/>
                <w:sz w:val="20"/>
                <w:szCs w:val="20"/>
              </w:rPr>
              <w:t xml:space="preserve">3º contato com suporte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2A47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2A47"/>
                <w:sz w:val="20"/>
                <w:szCs w:val="20"/>
              </w:rPr>
              <w:t xml:space="preserve">Monitoramento e escalada de chamados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2A47"/>
                <w:sz w:val="20"/>
                <w:szCs w:val="20"/>
              </w:rPr>
              <w:t xml:space="preserve">Resolução acima de 6 dias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2A47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2A47"/>
                <w:sz w:val="20"/>
                <w:szCs w:val="20"/>
              </w:rPr>
              <w:t xml:space="preserve">Atuação urgente por score de risco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2A47"/>
                <w:sz w:val="20"/>
                <w:szCs w:val="20"/>
              </w:rPr>
              <w:t xml:space="preserve">Score 2 = prioridade / Score 3 = urgente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2A47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2A47"/>
                <w:sz w:val="20"/>
                <w:szCs w:val="20"/>
              </w:rPr>
              <w:t xml:space="preserve">Não segmentar por região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2A47"/>
                <w:sz w:val="20"/>
                <w:szCs w:val="20"/>
              </w:rPr>
              <w:t xml:space="preserve">Sem evidência estatística de diferença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6DA4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2A47"/>
          <w:sz w:val="28"/>
          <w:szCs w:val="28"/>
        </w:rPr>
        <w:t xml:space="preserve">6. Conclusão</w:t>
      </w:r>
    </w:p>
    <w:p>
      <w:pPr>
        <w:spacing w:after="60" w:before="60"/>
      </w:pPr>
      <w:r>
        <w:rPr>
          <w:rFonts w:ascii="Arial" w:cs="Arial" w:eastAsia="Arial" w:hAnsi="Arial"/>
          <w:color w:val="1B2A47"/>
          <w:sz w:val="22"/>
          <w:szCs w:val="22"/>
        </w:rPr>
        <w:t xml:space="preserve">A análise demonstra que a insatisfação dos clientes — medida pelo NPS — está concentrada em três vetores principais: volume de reclamações, quantidade de interações com atendimento e tempo de resolução. Esses fatores são mensuráveis, monitoráveis em tempo real e acionáveis operacionalmente.</w:t>
      </w:r>
    </w:p>
    <w:p>
      <w:pPr>
        <w:spacing w:after="60" w:before="60"/>
      </w:pPr>
      <w:r>
        <w:rPr>
          <w:rFonts w:ascii="Arial" w:cs="Arial" w:eastAsia="Arial" w:hAnsi="Arial"/>
          <w:color w:val="1B2A47"/>
          <w:sz w:val="22"/>
          <w:szCs w:val="22"/>
        </w:rPr>
        <w:t xml:space="preserve">O score de risco composto entrega uma régua prática para priorização de casos, com capacidade de antecipar detratores antes de uma nova reclamação ocorrer. A implementação das decisões operacionais sugeridas tem potencial direto de redução da base de detratores e melhoria do NPS consolidado.</w:t>
      </w:r>
    </w:p>
    <w:p>
      <w:pPr>
        <w:pBdr>
          <w:bottom w:val="single" w:color="CCCCCC" w:sz="4" w:space="2"/>
        </w:pBdr>
        <w:spacing w:after="80" w:before="32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5A646E"/>
          <w:sz w:val="18"/>
          <w:szCs w:val="18"/>
        </w:rPr>
        <w:t xml:space="preserve">Documento gerado a partir da EDA — Fase 1 · Tech Challenge NPS · FIAP 2025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5A646E"/>
        <w:sz w:val="18"/>
        <w:szCs w:val="18"/>
      </w:rPr>
      <w:t xml:space="preserve">Tech Challenge NPS · FIAP 2025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5A646E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6" w:space="4"/>
      </w:pBdr>
      <w:spacing w:after="80" w:before="0"/>
    </w:pPr>
    <w:r>
      <w:rPr>
        <w:rFonts w:ascii="Arial" w:cs="Arial" w:eastAsia="Arial" w:hAnsi="Arial"/>
        <w:color w:val="5A646E"/>
        <w:sz w:val="18"/>
        <w:szCs w:val="18"/>
      </w:rPr>
      <w:t xml:space="preserve">RESUMO EXECUTIVO — EDA Atendimento e Cliente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2A47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6DA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2026-05-05T20:42:22.256Z</dcterms:created>
  <dcterms:modified xsi:type="dcterms:W3CDTF">2026-05-05T20:42:22.256Z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