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F3864"/>
          <w:sz w:val="48"/>
          <w:szCs w:val="48"/>
        </w:rPr>
        <w:t xml:space="preserve">EU AI Act Approval Pack</w:t>
      </w:r>
    </w:p>
    <w:p>
      <w:pPr>
        <w:shd w:fill="2E75B6" w:val="clear"/>
        <w:spacing w:after="0" w:before="0"/>
      </w:pPr>
      <w:r>
        <w:rPr>
          <w:rFonts w:ascii="Arial" w:cs="Arial" w:eastAsia="Arial" w:hAnsi="Arial"/>
          <w:b/>
          <w:bCs/>
          <w:color w:val="FFFFFF"/>
          <w:sz w:val="20"/>
          <w:szCs w:val="20"/>
        </w:rPr>
        <w:t xml:space="preserve">CONSULTING DECISION REPORT</w:t>
      </w:r>
    </w:p>
    <w:p>
      <w:pPr>
        <w:spacing w:after="0" w:before="160"/>
      </w:pPr>
      <w:r>
        <w:rPr>
          <w:rFonts w:ascii="Arial" w:cs="Arial" w:eastAsia="Arial" w:hAnsi="Arial"/>
          <w:sz w:val="20"/>
          <w:szCs w:val="20"/>
        </w:rPr>
        <w:t xml:space="preserve"/>
      </w:r>
    </w:p>
    <w:p>
      <w:pPr>
        <w:pBdr>
          <w:left w:val="single" w:color="2E75B6" w:sz="18" w:space="8"/>
        </w:pBdr>
        <w:spacing w:after="80" w:before="120"/>
        <w:ind w:left="200"/>
      </w:pPr>
      <w:r>
        <w:rPr>
          <w:rFonts w:ascii="Arial" w:cs="Arial" w:eastAsia="Arial" w:hAnsi="Arial"/>
          <w:i/>
          <w:iCs/>
          <w:color w:val="595959"/>
          <w:sz w:val="20"/>
          <w:szCs w:val="20"/>
        </w:rPr>
        <w:t xml:space="preserve">Consultant: Pedro  |  Client scenarios by: Mona (MobileBank, RetailFlow, EduAssess, WeatherForecast+)</w:t>
      </w:r>
    </w:p>
    <w:p>
      <w:pPr>
        <w:pBdr>
          <w:left w:val="single" w:color="2E75B6" w:sz="18" w:space="8"/>
        </w:pBdr>
        <w:spacing w:after="240" w:before="0"/>
        <w:ind w:left="200"/>
      </w:pPr>
      <w:r>
        <w:rPr>
          <w:rFonts w:ascii="Arial" w:cs="Arial" w:eastAsia="Arial" w:hAnsi="Arial"/>
          <w:i/>
          <w:iCs/>
          <w:color w:val="595959"/>
          <w:sz w:val="20"/>
          <w:szCs w:val="20"/>
        </w:rPr>
        <w:t xml:space="preserve">Date: 24 March 2026</w:t>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60"/>
              <w:left w:type="dxa" w:w="220"/>
              <w:bottom w:type="dxa" w:w="160"/>
              <w:right w:type="dxa" w:w="220"/>
            </w:tcMar>
          </w:tcPr>
          <w:p>
            <w:pPr>
              <w:spacing w:after="80" w:before="0"/>
            </w:pPr>
            <w:r>
              <w:rPr>
                <w:rFonts w:ascii="Arial" w:cs="Arial" w:eastAsia="Arial" w:hAnsi="Arial"/>
                <w:b/>
                <w:bCs/>
                <w:color w:val="1F3864"/>
                <w:sz w:val="20"/>
                <w:szCs w:val="20"/>
              </w:rPr>
              <w:t xml:space="preserve">Executive Summary — Overall Risk Picture</w:t>
            </w:r>
          </w:p>
          <w:p>
            <w:pPr>
              <w:spacing w:after="80" w:before="0"/>
            </w:pPr>
            <w:r>
              <w:rPr>
                <w:rFonts w:ascii="Arial" w:cs="Arial" w:eastAsia="Arial" w:hAnsi="Arial"/>
                <w:sz w:val="20"/>
                <w:szCs w:val="20"/>
              </w:rPr>
              <w:t xml:space="preserve">This pack assesses four AI use cases across financial services, logistics, education, and weather analytics.</w:t>
            </w:r>
          </w:p>
          <w:p>
            <w:pPr>
              <w:spacing w:after="80" w:before="0"/>
            </w:pPr>
            <w:r>
              <w:rPr>
                <w:rFonts w:ascii="Arial" w:cs="Arial" w:eastAsia="Arial" w:hAnsi="Arial"/>
                <w:b/>
                <w:bCs/>
                <w:color w:val="1F3864"/>
                <w:sz w:val="20"/>
                <w:szCs w:val="20"/>
              </w:rPr>
              <w:t xml:space="preserve">High-risk exposure: </w:t>
            </w:r>
            <w:r>
              <w:rPr>
                <w:rFonts w:ascii="Arial" w:cs="Arial" w:eastAsia="Arial" w:hAnsi="Arial"/>
                <w:sz w:val="20"/>
                <w:szCs w:val="20"/>
              </w:rPr>
              <w:t xml:space="preserve">The MobileBank case crosses into prohibited territory (Article 5(1)(c)) due to social scoring via personality inference with near-zero human oversight. RetailFlow and EduAssess are high-risk under Annex III — one affecting 2,500+ workers' employment conditions, the other shaping educational support access for 12,000 students. WeatherForecast+ carries no AI Act obligations.</w:t>
            </w:r>
          </w:p>
          <w:p>
            <w:pPr>
              <w:spacing w:after="0" w:before="0"/>
            </w:pPr>
            <w:r>
              <w:rPr>
                <w:rFonts w:ascii="Arial" w:cs="Arial" w:eastAsia="Arial" w:hAnsi="Arial"/>
                <w:b/>
                <w:bCs/>
                <w:color w:val="000000"/>
                <w:sz w:val="20"/>
                <w:szCs w:val="20"/>
              </w:rPr>
              <w:t xml:space="preserve">Decisions summary: </w:t>
            </w:r>
            <w:r>
              <w:rPr>
                <w:rFonts w:ascii="Arial" w:cs="Arial" w:eastAsia="Arial" w:hAnsi="Arial"/>
                <w:sz w:val="20"/>
                <w:szCs w:val="20"/>
              </w:rPr>
              <w:t xml:space="preserve">One denial with redesign, two approvals with controls, one straight approval.</w:t>
            </w:r>
          </w:p>
        </w:tc>
      </w:tr>
    </w:tbl>
    <w:p>
      <w:pPr>
        <w:spacing w:after="0" w:before="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160"/>
        <w:gridCol w:w="2600"/>
      </w:tblGrid>
      <w:tr>
        <w:tc>
          <w:tcPr>
            <w:tcW w:type="dxa" w:w="8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Case</w:t>
            </w:r>
          </w:p>
        </w:tc>
        <w:tc>
          <w:tcPr>
            <w:tcW w:type="dxa" w:w="18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Client</w:t>
            </w:r>
          </w:p>
        </w:tc>
        <w:tc>
          <w:tcPr>
            <w:tcW w:type="dxa" w:w="416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Category</w:t>
            </w:r>
          </w:p>
        </w:tc>
        <w:tc>
          <w:tcPr>
            <w:tcW w:type="dxa" w:w="26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Decision</w:t>
            </w:r>
          </w:p>
        </w:tc>
      </w:tr>
      <w:tr>
        <w:tc>
          <w:tcPr>
            <w:tcW w:type="dxa" w:w="800"/>
            <w:tcBorders>
              <w:top w:val="single" w:color="CCCCCC" w:sz="1"/>
              <w:left w:val="single" w:color="CCCCCC" w:sz="1"/>
              <w:bottom w:val="single" w:color="CCCCCC" w:sz="1"/>
              <w:right w:val="single" w:color="CCCCCC" w:sz="1"/>
            </w:tcBorders>
            <w:shd w:fill="F7F9FC" w:val="clear"/>
            <w:tcMar>
              <w:top w:type="dxa" w:w="90"/>
              <w:left w:type="dxa" w:w="130"/>
              <w:bottom w:type="dxa" w:w="90"/>
              <w:right w:type="dxa" w:w="130"/>
            </w:tcMar>
          </w:tcPr>
          <w:p>
            <w:pPr>
              <w:spacing w:after="60" w:before="60"/>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MobileBank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b/>
                <w:bCs/>
                <w:color w:val="C00000"/>
                <w:sz w:val="20"/>
                <w:szCs w:val="20"/>
              </w:rPr>
              <w:t xml:space="preserve">Prohibited — Article 5(1)(c)</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b/>
                <w:bCs/>
                <w:color w:val="C00000"/>
                <w:sz w:val="20"/>
                <w:szCs w:val="20"/>
              </w:rPr>
              <w:t xml:space="preserve">Deny and redesign</w:t>
            </w:r>
          </w:p>
        </w:tc>
      </w:tr>
      <w:tr>
        <w:tc>
          <w:tcPr>
            <w:tcW w:type="dxa" w:w="800"/>
            <w:tcBorders>
              <w:top w:val="single" w:color="CCCCCC" w:sz="1"/>
              <w:left w:val="single" w:color="CCCCCC" w:sz="1"/>
              <w:bottom w:val="single" w:color="CCCCCC" w:sz="1"/>
              <w:right w:val="single" w:color="CCCCCC" w:sz="1"/>
            </w:tcBorders>
            <w:shd w:fill="F7F9FC" w:val="clear"/>
            <w:tcMar>
              <w:top w:type="dxa" w:w="90"/>
              <w:left w:type="dxa" w:w="130"/>
              <w:bottom w:type="dxa" w:w="90"/>
              <w:right w:type="dxa" w:w="130"/>
            </w:tcMar>
          </w:tcPr>
          <w:p>
            <w:pPr>
              <w:spacing w:after="60" w:before="60"/>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RetailFlow</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b/>
                <w:bCs/>
                <w:color w:val="843C0C"/>
                <w:sz w:val="20"/>
                <w:szCs w:val="20"/>
              </w:rPr>
              <w:t xml:space="preserve">High-Risk — Annex III pt. 4 (Employment)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b/>
                <w:bCs/>
                <w:color w:val="843C0C"/>
                <w:sz w:val="20"/>
                <w:szCs w:val="20"/>
              </w:rPr>
              <w:t xml:space="preserve">Approve with controls</w:t>
            </w:r>
          </w:p>
        </w:tc>
      </w:tr>
      <w:tr>
        <w:tc>
          <w:tcPr>
            <w:tcW w:type="dxa" w:w="800"/>
            <w:tcBorders>
              <w:top w:val="single" w:color="CCCCCC" w:sz="1"/>
              <w:left w:val="single" w:color="CCCCCC" w:sz="1"/>
              <w:bottom w:val="single" w:color="CCCCCC" w:sz="1"/>
              <w:right w:val="single" w:color="CCCCCC" w:sz="1"/>
            </w:tcBorders>
            <w:shd w:fill="F7F9FC" w:val="clear"/>
            <w:tcMar>
              <w:top w:type="dxa" w:w="90"/>
              <w:left w:type="dxa" w:w="130"/>
              <w:bottom w:type="dxa" w:w="90"/>
              <w:right w:type="dxa" w:w="130"/>
            </w:tcMar>
          </w:tcPr>
          <w:p>
            <w:pPr>
              <w:spacing w:after="60" w:before="60"/>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EduAssess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b/>
                <w:bCs/>
                <w:color w:val="1F3864"/>
                <w:sz w:val="20"/>
                <w:szCs w:val="20"/>
              </w:rPr>
              <w:t xml:space="preserve">High-Risk — Annex III pt. 3 (Education)</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b/>
                <w:bCs/>
                <w:color w:val="1F3864"/>
                <w:sz w:val="20"/>
                <w:szCs w:val="20"/>
              </w:rPr>
              <w:t xml:space="preserve">Approve with controls</w:t>
            </w:r>
          </w:p>
        </w:tc>
      </w:tr>
      <w:tr>
        <w:tc>
          <w:tcPr>
            <w:tcW w:type="dxa" w:w="800"/>
            <w:tcBorders>
              <w:top w:val="single" w:color="CCCCCC" w:sz="1"/>
              <w:left w:val="single" w:color="CCCCCC" w:sz="1"/>
              <w:bottom w:val="single" w:color="CCCCCC" w:sz="1"/>
              <w:right w:val="single" w:color="CCCCCC" w:sz="1"/>
            </w:tcBorders>
            <w:shd w:fill="F7F9FC" w:val="clear"/>
            <w:tcMar>
              <w:top w:type="dxa" w:w="90"/>
              <w:left w:type="dxa" w:w="130"/>
              <w:bottom w:type="dxa" w:w="90"/>
              <w:right w:type="dxa" w:w="130"/>
            </w:tcMar>
          </w:tcPr>
          <w:p>
            <w:pPr>
              <w:spacing w:after="60" w:before="60"/>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WeatherForecast+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b/>
                <w:bCs/>
                <w:color w:val="375623"/>
                <w:sz w:val="20"/>
                <w:szCs w:val="20"/>
              </w:rPr>
              <w:t xml:space="preserve">Minimal Risk</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b/>
                <w:bCs/>
                <w:color w:val="375623"/>
                <w:sz w:val="20"/>
                <w:szCs w:val="20"/>
              </w:rPr>
              <w:t xml:space="preserve">Approve</w:t>
            </w:r>
          </w:p>
        </w:tc>
      </w:tr>
    </w:tbl>
    <w:p>
      <w:r>
        <w:br w:type="page"/>
      </w:r>
    </w:p>
    <w:p>
      <w:pPr>
        <w:spacing w:after="100" w:before="240"/>
      </w:pPr>
      <w:r>
        <w:rPr>
          <w:rFonts w:ascii="Arial" w:cs="Arial" w:eastAsia="Arial" w:hAnsi="Arial"/>
          <w:b/>
          <w:bCs/>
          <w:color w:val="1F3864"/>
          <w:sz w:val="28"/>
          <w:szCs w:val="28"/>
        </w:rPr>
        <w:t xml:space="preserve">1. Case-by-Case Consulting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280"/>
        <w:gridCol w:w="1900"/>
        <w:gridCol w:w="1700"/>
        <w:gridCol w:w="1500"/>
        <w:gridCol w:w="2200"/>
      </w:tblGrid>
      <w:tr>
        <w:tc>
          <w:tcPr>
            <w:tcW w:type="dxa" w:w="78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Case</w:t>
            </w:r>
          </w:p>
        </w:tc>
        <w:tc>
          <w:tcPr>
            <w:tcW w:type="dxa" w:w="128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Likely Category</w:t>
            </w:r>
          </w:p>
        </w:tc>
        <w:tc>
          <w:tcPr>
            <w:tcW w:type="dxa" w:w="19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First-Pass Rationale</w:t>
            </w:r>
          </w:p>
        </w:tc>
        <w:tc>
          <w:tcPr>
            <w:tcW w:type="dxa" w:w="17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Proposed Architecture</w:t>
            </w:r>
          </w:p>
        </w:tc>
        <w:tc>
          <w:tcPr>
            <w:tcW w:type="dxa" w:w="15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Provider / Deployer</w:t>
            </w:r>
          </w:p>
        </w:tc>
        <w:tc>
          <w:tcPr>
            <w:tcW w:type="dxa" w:w="22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Required Controls</w:t>
            </w:r>
          </w:p>
        </w:tc>
      </w:tr>
      <w:tr>
        <w:tc>
          <w:tcPr>
            <w:tcW w:type="dxa" w:w="780"/>
            <w:tcBorders>
              <w:top w:val="single" w:color="CCCCCC" w:sz="1"/>
              <w:left w:val="single" w:color="CCCCCC" w:sz="1"/>
              <w:bottom w:val="single" w:color="CCCCCC" w:sz="1"/>
              <w:right w:val="single" w:color="CCCCCC" w:sz="1"/>
            </w:tcBorders>
            <w:shd w:fill="F7F9FC" w:val="clear"/>
            <w:tcMar>
              <w:top w:type="dxa" w:w="90"/>
              <w:left w:type="dxa" w:w="130"/>
              <w:bottom w:type="dxa" w:w="90"/>
              <w:right w:type="dxa" w:w="130"/>
            </w:tcMar>
          </w:tcPr>
          <w:p>
            <w:pPr>
              <w:spacing w:after="60" w:before="60"/>
            </w:pPr>
            <w:r>
              <w:rPr>
                <w:rFonts w:ascii="Arial" w:cs="Arial" w:eastAsia="Arial" w:hAnsi="Arial"/>
                <w:b/>
                <w:bCs/>
                <w:color w:val="000000"/>
                <w:sz w:val="20"/>
                <w:szCs w:val="20"/>
              </w:rPr>
              <w:t xml:space="preserve">1</w:t>
            </w:r>
            <w:r>
              <w:rPr>
                <w:rFonts w:ascii="Arial" w:cs="Arial" w:eastAsia="Arial" w:hAnsi="Arial"/>
                <w:i/>
                <w:iCs/>
                <w:color w:val="595959"/>
                <w:sz w:val="20"/>
                <w:szCs w:val="20"/>
              </w:rPr>
              <w:t xml:space="preserve">
MobileBank</w:t>
            </w:r>
          </w:p>
        </w:tc>
        <w:tc>
          <w:tcPr>
            <w:tcW w:type="dxa" w:w="12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b/>
                <w:bCs/>
                <w:color w:val="C00000"/>
                <w:sz w:val="20"/>
                <w:szCs w:val="20"/>
              </w:rPr>
              <w:t xml:space="preserve">PROHIBITED
(Art. 5(1)(c))</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30" w:before="30"/>
            </w:pPr>
            <w:r>
              <w:rPr>
                <w:rFonts w:ascii="Arial" w:cs="Arial" w:eastAsia="Arial" w:hAnsi="Arial"/>
                <w:sz w:val="20"/>
                <w:szCs w:val="20"/>
              </w:rPr>
              <w:t xml:space="preserve">AI infers personality traits from social media to automate credit decisions for 95% of applicants with no transparency, no appeal, and no user disclosure. This is social scoring by a private entity causing detrimental treatment in an unrelated context — a hard prohibition under Article 5(1)(c). Targeting financially stressed users with higher-interest products also raises Article 5(1)(b) concerns.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30" w:before="30"/>
            </w:pPr>
            <w:r>
              <w:rPr>
                <w:rFonts w:ascii="Arial" w:cs="Arial" w:eastAsia="Arial" w:hAnsi="Arial"/>
                <w:sz w:val="20"/>
                <w:szCs w:val="20"/>
              </w:rPr>
              <w:t xml:space="preserve">Do not deploy as proposed.</w:t>
            </w:r>
          </w:p>
          <w:p>
            <w:pPr>
              <w:spacing w:after="30" w:before="30"/>
            </w:pPr>
            <w:r>
              <w:rPr>
                <w:rFonts w:ascii="Arial" w:cs="Arial" w:eastAsia="Arial" w:hAnsi="Arial"/>
                <w:sz w:val="20"/>
                <w:szCs w:val="20"/>
              </w:rPr>
              <w:t xml:space="preserve">Score hidden from users; decisions fully automated with no appeal mechanism.</w:t>
            </w:r>
          </w:p>
          <w:p>
            <w:pPr>
              <w:spacing w:after="30" w:before="30"/>
            </w:pPr>
            <w:r>
              <w:rPr>
                <w:rFonts w:ascii="Arial" w:cs="Arial" w:eastAsia="Arial" w:hAnsi="Arial"/>
                <w:sz w:val="20"/>
                <w:szCs w:val="20"/>
              </w:rPr>
              <w:t xml:space="preserve">Structural redesign required — see Section 2.</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Provider: MobileBank
(internal AI team)
Deployer: MobileBank</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tcPr>
          <w:p>
            <w:pPr>
              <w:pStyle w:val="ListParagraph"/>
              <w:numPr>
                <w:ilvl w:val="0"/>
                <w:numId w:val="2"/>
              </w:numPr>
              <w:spacing w:after="30" w:before="30"/>
            </w:pPr>
            <w:r>
              <w:rPr>
                <w:rFonts w:ascii="Arial" w:cs="Arial" w:eastAsia="Arial" w:hAnsi="Arial"/>
                <w:sz w:val="20"/>
                <w:szCs w:val="20"/>
              </w:rPr>
              <w:t xml:space="preserve">Prohibited practice — cannot be remediated with controls</w:t>
            </w:r>
          </w:p>
          <w:p>
            <w:pPr>
              <w:pStyle w:val="ListParagraph"/>
              <w:numPr>
                <w:ilvl w:val="0"/>
                <w:numId w:val="2"/>
              </w:numPr>
              <w:spacing w:after="30" w:before="30"/>
            </w:pPr>
            <w:r>
              <w:rPr>
                <w:rFonts w:ascii="Arial" w:cs="Arial" w:eastAsia="Arial" w:hAnsi="Arial"/>
                <w:sz w:val="20"/>
                <w:szCs w:val="20"/>
              </w:rPr>
              <w:t xml:space="preserve">Requires full structural redesign before any deployment</w:t>
            </w:r>
          </w:p>
        </w:tc>
      </w:tr>
      <w:tr>
        <w:tc>
          <w:tcPr>
            <w:tcW w:type="dxa" w:w="780"/>
            <w:tcBorders>
              <w:top w:val="single" w:color="CCCCCC" w:sz="1"/>
              <w:left w:val="single" w:color="CCCCCC" w:sz="1"/>
              <w:bottom w:val="single" w:color="CCCCCC" w:sz="1"/>
              <w:right w:val="single" w:color="CCCCCC" w:sz="1"/>
            </w:tcBorders>
            <w:shd w:fill="F7F9FC" w:val="clear"/>
            <w:tcMar>
              <w:top w:type="dxa" w:w="90"/>
              <w:left w:type="dxa" w:w="130"/>
              <w:bottom w:type="dxa" w:w="90"/>
              <w:right w:type="dxa" w:w="130"/>
            </w:tcMar>
          </w:tcPr>
          <w:p>
            <w:pPr>
              <w:spacing w:after="60" w:before="60"/>
            </w:pPr>
            <w:r>
              <w:rPr>
                <w:rFonts w:ascii="Arial" w:cs="Arial" w:eastAsia="Arial" w:hAnsi="Arial"/>
                <w:b/>
                <w:bCs/>
                <w:color w:val="000000"/>
                <w:sz w:val="20"/>
                <w:szCs w:val="20"/>
              </w:rPr>
              <w:t xml:space="preserve">2</w:t>
            </w:r>
            <w:r>
              <w:rPr>
                <w:rFonts w:ascii="Arial" w:cs="Arial" w:eastAsia="Arial" w:hAnsi="Arial"/>
                <w:i/>
                <w:iCs/>
                <w:color w:val="595959"/>
                <w:sz w:val="20"/>
                <w:szCs w:val="20"/>
              </w:rPr>
              <w:t xml:space="preserve">
RetailFlow</w:t>
            </w:r>
          </w:p>
        </w:tc>
        <w:tc>
          <w:tcPr>
            <w:tcW w:type="dxa" w:w="12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b/>
                <w:bCs/>
                <w:color w:val="843C0C"/>
                <w:sz w:val="20"/>
                <w:szCs w:val="20"/>
              </w:rPr>
              <w:t xml:space="preserve">HIGH-RISK
(Annex III pt. 4)</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30" w:before="30"/>
            </w:pPr>
            <w:r>
              <w:rPr>
                <w:rFonts w:ascii="Arial" w:cs="Arial" w:eastAsia="Arial" w:hAnsi="Arial"/>
                <w:sz w:val="20"/>
                <w:szCs w:val="20"/>
              </w:rPr>
              <w:t xml:space="preserve">System assigns night/weekend shifts and adjusts bonuses for 2,500+ workers using personal circumstance data (family size, commute, employment history). Meets Annex III pt. 4: AI used for task allocation, performance monitoring, and employment conditions. Override exists but is rarely used and undocumented — not meaningful oversight under Article 14.</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30" w:before="30"/>
            </w:pPr>
            <w:r>
              <w:rPr>
                <w:rFonts w:ascii="Arial" w:cs="Arial" w:eastAsia="Arial" w:hAnsi="Arial"/>
                <w:sz w:val="20"/>
                <w:szCs w:val="20"/>
              </w:rPr>
              <w:t xml:space="preserve">AI as decision-support for scheduling and bonus allocation.</w:t>
            </w:r>
          </w:p>
          <w:p>
            <w:pPr>
              <w:spacing w:after="30" w:before="30"/>
            </w:pPr>
            <w:r>
              <w:rPr>
                <w:rFonts w:ascii="Arial" w:cs="Arial" w:eastAsia="Arial" w:hAnsi="Arial"/>
                <w:sz w:val="20"/>
                <w:szCs w:val="20"/>
              </w:rPr>
              <w:t xml:space="preserve">Manager override mechanism must be formalised and documented.</w:t>
            </w:r>
          </w:p>
          <w:p>
            <w:pPr>
              <w:spacing w:after="30" w:before="30"/>
            </w:pPr>
            <w:r>
              <w:rPr>
                <w:rFonts w:ascii="Arial" w:cs="Arial" w:eastAsia="Arial" w:hAnsi="Arial"/>
                <w:sz w:val="20"/>
                <w:szCs w:val="20"/>
              </w:rPr>
              <w:t xml:space="preserve">No automated final action on compensation without human sign-off.</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Provider: AI scheduling
vendor
Deployer: RetailFlow</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tcPr>
          <w:p>
            <w:pPr>
              <w:pStyle w:val="ListParagraph"/>
              <w:numPr>
                <w:ilvl w:val="0"/>
                <w:numId w:val="2"/>
              </w:numPr>
              <w:spacing w:after="30" w:before="30"/>
            </w:pPr>
            <w:r>
              <w:rPr>
                <w:rFonts w:ascii="Arial" w:cs="Arial" w:eastAsia="Arial" w:hAnsi="Arial"/>
                <w:sz w:val="20"/>
                <w:szCs w:val="20"/>
              </w:rPr>
              <w:t xml:space="preserve">Conformity assessment (provider)</w:t>
            </w:r>
          </w:p>
          <w:p>
            <w:pPr>
              <w:pStyle w:val="ListParagraph"/>
              <w:numPr>
                <w:ilvl w:val="0"/>
                <w:numId w:val="2"/>
              </w:numPr>
              <w:spacing w:after="30" w:before="30"/>
            </w:pPr>
            <w:r>
              <w:rPr>
                <w:rFonts w:ascii="Arial" w:cs="Arial" w:eastAsia="Arial" w:hAnsi="Arial"/>
                <w:sz w:val="20"/>
                <w:szCs w:val="20"/>
              </w:rPr>
              <w:t xml:space="preserve">Article 13: transparency notices to all workers before activation</w:t>
            </w:r>
          </w:p>
          <w:p>
            <w:pPr>
              <w:pStyle w:val="ListParagraph"/>
              <w:numPr>
                <w:ilvl w:val="0"/>
                <w:numId w:val="2"/>
              </w:numPr>
              <w:spacing w:after="30" w:before="30"/>
            </w:pPr>
            <w:r>
              <w:rPr>
                <w:rFonts w:ascii="Arial" w:cs="Arial" w:eastAsia="Arial" w:hAnsi="Arial"/>
                <w:sz w:val="20"/>
                <w:szCs w:val="20"/>
              </w:rPr>
              <w:t xml:space="preserve">Article 14: formalise override — train managers, track rates quarterly</w:t>
            </w:r>
          </w:p>
          <w:p>
            <w:pPr>
              <w:pStyle w:val="ListParagraph"/>
              <w:numPr>
                <w:ilvl w:val="0"/>
                <w:numId w:val="2"/>
              </w:numPr>
              <w:spacing w:after="30" w:before="30"/>
            </w:pPr>
            <w:r>
              <w:rPr>
                <w:rFonts w:ascii="Arial" w:cs="Arial" w:eastAsia="Arial" w:hAnsi="Arial"/>
                <w:sz w:val="20"/>
                <w:szCs w:val="20"/>
              </w:rPr>
              <w:t xml:space="preserve">FRIA before first use</w:t>
            </w:r>
          </w:p>
          <w:p>
            <w:pPr>
              <w:pStyle w:val="ListParagraph"/>
              <w:numPr>
                <w:ilvl w:val="0"/>
                <w:numId w:val="2"/>
              </w:numPr>
              <w:spacing w:after="30" w:before="30"/>
            </w:pPr>
            <w:r>
              <w:rPr>
                <w:rFonts w:ascii="Arial" w:cs="Arial" w:eastAsia="Arial" w:hAnsi="Arial"/>
                <w:sz w:val="20"/>
                <w:szCs w:val="20"/>
              </w:rPr>
              <w:t xml:space="preserve">Formal worker appeal process with documented timelines</w:t>
            </w:r>
          </w:p>
        </w:tc>
      </w:tr>
      <w:tr>
        <w:tc>
          <w:tcPr>
            <w:tcW w:type="dxa" w:w="780"/>
            <w:tcBorders>
              <w:top w:val="single" w:color="CCCCCC" w:sz="1"/>
              <w:left w:val="single" w:color="CCCCCC" w:sz="1"/>
              <w:bottom w:val="single" w:color="CCCCCC" w:sz="1"/>
              <w:right w:val="single" w:color="CCCCCC" w:sz="1"/>
            </w:tcBorders>
            <w:shd w:fill="F7F9FC" w:val="clear"/>
            <w:tcMar>
              <w:top w:type="dxa" w:w="90"/>
              <w:left w:type="dxa" w:w="130"/>
              <w:bottom w:type="dxa" w:w="90"/>
              <w:right w:type="dxa" w:w="130"/>
            </w:tcMar>
          </w:tcPr>
          <w:p>
            <w:pPr>
              <w:spacing w:after="60" w:before="60"/>
            </w:pPr>
            <w:r>
              <w:rPr>
                <w:rFonts w:ascii="Arial" w:cs="Arial" w:eastAsia="Arial" w:hAnsi="Arial"/>
                <w:b/>
                <w:bCs/>
                <w:color w:val="000000"/>
                <w:sz w:val="20"/>
                <w:szCs w:val="20"/>
              </w:rPr>
              <w:t xml:space="preserve">3</w:t>
            </w:r>
            <w:r>
              <w:rPr>
                <w:rFonts w:ascii="Arial" w:cs="Arial" w:eastAsia="Arial" w:hAnsi="Arial"/>
                <w:i/>
                <w:iCs/>
                <w:color w:val="595959"/>
                <w:sz w:val="20"/>
                <w:szCs w:val="20"/>
              </w:rPr>
              <w:t xml:space="preserve">
EduAssess</w:t>
            </w:r>
          </w:p>
        </w:tc>
        <w:tc>
          <w:tcPr>
            <w:tcW w:type="dxa" w:w="12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b/>
                <w:bCs/>
                <w:color w:val="1F3864"/>
                <w:sz w:val="20"/>
                <w:szCs w:val="20"/>
              </w:rPr>
              <w:t xml:space="preserve">HIGH-RISK
(Annex III pt. 3)</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30" w:before="30"/>
            </w:pPr>
            <w:r>
              <w:rPr>
                <w:rFonts w:ascii="Arial" w:cs="Arial" w:eastAsia="Arial" w:hAnsi="Arial"/>
                <w:sz w:val="20"/>
                <w:szCs w:val="20"/>
              </w:rPr>
              <w:t xml:space="preserve">Dropout risk scores for 12,000 students shared with advisors who decide on outreach. Students not flagged receive no proactive support — AI materially shapes access to educational opportunities. Good intent does not lower the risk tier. False negatives and proxy discrimination are the primary threats. Existing advisor oversight is a mitigating factor but does not reduce the classification.</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30" w:before="30"/>
            </w:pPr>
            <w:r>
              <w:rPr>
                <w:rFonts w:ascii="Arial" w:cs="Arial" w:eastAsia="Arial" w:hAnsi="Arial"/>
                <w:sz w:val="20"/>
                <w:szCs w:val="20"/>
              </w:rPr>
              <w:t xml:space="preserve">AI produces risk score as input to advisor workflow.</w:t>
            </w:r>
          </w:p>
          <w:p>
            <w:pPr>
              <w:spacing w:after="30" w:before="30"/>
            </w:pPr>
            <w:r>
              <w:rPr>
                <w:rFonts w:ascii="Arial" w:cs="Arial" w:eastAsia="Arial" w:hAnsi="Arial"/>
                <w:sz w:val="20"/>
                <w:szCs w:val="20"/>
              </w:rPr>
              <w:t xml:space="preserve">Advisor reviews score and makes all outreach decisions.</w:t>
            </w:r>
          </w:p>
          <w:p>
            <w:pPr>
              <w:spacing w:after="30" w:before="30"/>
            </w:pPr>
            <w:r>
              <w:rPr>
                <w:rFonts w:ascii="Arial" w:cs="Arial" w:eastAsia="Arial" w:hAnsi="Arial"/>
                <w:sz w:val="20"/>
                <w:szCs w:val="20"/>
              </w:rPr>
              <w:t xml:space="preserve">Score not visible to students.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Provider: EduAssess
Deployer: University</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tcPr>
          <w:p>
            <w:pPr>
              <w:pStyle w:val="ListParagraph"/>
              <w:numPr>
                <w:ilvl w:val="0"/>
                <w:numId w:val="2"/>
              </w:numPr>
              <w:spacing w:after="30" w:before="30"/>
            </w:pPr>
            <w:r>
              <w:rPr>
                <w:rFonts w:ascii="Arial" w:cs="Arial" w:eastAsia="Arial" w:hAnsi="Arial"/>
                <w:sz w:val="20"/>
                <w:szCs w:val="20"/>
              </w:rPr>
              <w:t xml:space="preserve">Conformity assessment and accuracy benchmarks (provider)</w:t>
            </w:r>
          </w:p>
          <w:p>
            <w:pPr>
              <w:pStyle w:val="ListParagraph"/>
              <w:numPr>
                <w:ilvl w:val="0"/>
                <w:numId w:val="2"/>
              </w:numPr>
              <w:spacing w:after="30" w:before="30"/>
            </w:pPr>
            <w:r>
              <w:rPr>
                <w:rFonts w:ascii="Arial" w:cs="Arial" w:eastAsia="Arial" w:hAnsi="Arial"/>
                <w:sz w:val="20"/>
                <w:szCs w:val="20"/>
              </w:rPr>
              <w:t xml:space="preserve">Article 13: advisors trained on system limitations</w:t>
            </w:r>
          </w:p>
          <w:p>
            <w:pPr>
              <w:pStyle w:val="ListParagraph"/>
              <w:numPr>
                <w:ilvl w:val="0"/>
                <w:numId w:val="2"/>
              </w:numPr>
              <w:spacing w:after="30" w:before="30"/>
            </w:pPr>
            <w:r>
              <w:rPr>
                <w:rFonts w:ascii="Arial" w:cs="Arial" w:eastAsia="Arial" w:hAnsi="Arial"/>
                <w:sz w:val="20"/>
                <w:szCs w:val="20"/>
              </w:rPr>
              <w:t xml:space="preserve">Article 14: override must be frictionless — advisors can act on non-flagged students</w:t>
            </w:r>
          </w:p>
          <w:p>
            <w:pPr>
              <w:pStyle w:val="ListParagraph"/>
              <w:numPr>
                <w:ilvl w:val="0"/>
                <w:numId w:val="2"/>
              </w:numPr>
              <w:spacing w:after="30" w:before="30"/>
            </w:pPr>
            <w:r>
              <w:rPr>
                <w:rFonts w:ascii="Arial" w:cs="Arial" w:eastAsia="Arial" w:hAnsi="Arial"/>
                <w:sz w:val="20"/>
                <w:szCs w:val="20"/>
              </w:rPr>
              <w:t xml:space="preserve">Article 72: monitor for demographic bias in flagging rates</w:t>
            </w:r>
          </w:p>
          <w:p>
            <w:pPr>
              <w:pStyle w:val="ListParagraph"/>
              <w:numPr>
                <w:ilvl w:val="0"/>
                <w:numId w:val="2"/>
              </w:numPr>
              <w:spacing w:after="30" w:before="30"/>
            </w:pPr>
            <w:r>
              <w:rPr>
                <w:rFonts w:ascii="Arial" w:cs="Arial" w:eastAsia="Arial" w:hAnsi="Arial"/>
                <w:sz w:val="20"/>
                <w:szCs w:val="20"/>
              </w:rPr>
              <w:t xml:space="preserve">FRIA at university level given scale (12,000 students)</w:t>
            </w:r>
          </w:p>
        </w:tc>
      </w:tr>
      <w:tr>
        <w:tc>
          <w:tcPr>
            <w:tcW w:type="dxa" w:w="780"/>
            <w:tcBorders>
              <w:top w:val="single" w:color="CCCCCC" w:sz="1"/>
              <w:left w:val="single" w:color="CCCCCC" w:sz="1"/>
              <w:bottom w:val="single" w:color="CCCCCC" w:sz="1"/>
              <w:right w:val="single" w:color="CCCCCC" w:sz="1"/>
            </w:tcBorders>
            <w:shd w:fill="F7F9FC" w:val="clear"/>
            <w:tcMar>
              <w:top w:type="dxa" w:w="90"/>
              <w:left w:type="dxa" w:w="130"/>
              <w:bottom w:type="dxa" w:w="90"/>
              <w:right w:type="dxa" w:w="130"/>
            </w:tcMar>
          </w:tcPr>
          <w:p>
            <w:pPr>
              <w:spacing w:after="60" w:before="60"/>
            </w:pPr>
            <w:r>
              <w:rPr>
                <w:rFonts w:ascii="Arial" w:cs="Arial" w:eastAsia="Arial" w:hAnsi="Arial"/>
                <w:b/>
                <w:bCs/>
                <w:color w:val="000000"/>
                <w:sz w:val="20"/>
                <w:szCs w:val="20"/>
              </w:rPr>
              <w:t xml:space="preserve">4</w:t>
            </w:r>
            <w:r>
              <w:rPr>
                <w:rFonts w:ascii="Arial" w:cs="Arial" w:eastAsia="Arial" w:hAnsi="Arial"/>
                <w:i/>
                <w:iCs/>
                <w:color w:val="595959"/>
                <w:sz w:val="20"/>
                <w:szCs w:val="20"/>
              </w:rPr>
              <w:t xml:space="preserve">
WeatherForecast+</w:t>
            </w:r>
          </w:p>
        </w:tc>
        <w:tc>
          <w:tcPr>
            <w:tcW w:type="dxa" w:w="12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b/>
                <w:bCs/>
                <w:color w:val="375623"/>
                <w:sz w:val="20"/>
                <w:szCs w:val="20"/>
              </w:rPr>
              <w:t xml:space="preserve">MINIMAL RISK</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30" w:before="30"/>
            </w:pPr>
            <w:r>
              <w:rPr>
                <w:rFonts w:ascii="Arial" w:cs="Arial" w:eastAsia="Arial" w:hAnsi="Arial"/>
                <w:sz w:val="20"/>
                <w:szCs w:val="20"/>
              </w:rPr>
              <w:t xml:space="preserve">Hyperlocal rainfall model for voluntary irrigation planning. No individual assessed, no Annex III domain triggered, outputs advisory with explicit accuracy disclaimer. Absence of human oversight in the pipeline is not a concern — AI Act oversight requirements apply to high-risk systems only.</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30" w:before="30"/>
            </w:pPr>
            <w:r>
              <w:rPr>
                <w:rFonts w:ascii="Arial" w:cs="Arial" w:eastAsia="Arial" w:hAnsi="Arial"/>
                <w:sz w:val="20"/>
                <w:szCs w:val="20"/>
              </w:rPr>
              <w:t xml:space="preserve">Model ingests satellite and sensor data.</w:t>
            </w:r>
          </w:p>
          <w:p>
            <w:pPr>
              <w:spacing w:after="30" w:before="30"/>
            </w:pPr>
            <w:r>
              <w:rPr>
                <w:rFonts w:ascii="Arial" w:cs="Arial" w:eastAsia="Arial" w:hAnsi="Arial"/>
                <w:sz w:val="20"/>
                <w:szCs w:val="20"/>
              </w:rPr>
              <w:t xml:space="preserve">Outputs forecast + confidence score to public app.</w:t>
            </w:r>
          </w:p>
          <w:p>
            <w:pPr>
              <w:spacing w:after="30" w:before="30"/>
            </w:pPr>
            <w:r>
              <w:rPr>
                <w:rFonts w:ascii="Arial" w:cs="Arial" w:eastAsia="Arial" w:hAnsi="Arial"/>
                <w:sz w:val="20"/>
                <w:szCs w:val="20"/>
              </w:rPr>
              <w:t xml:space="preserve">Disclaimer displayed on all predictions.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Provider: WeatherForecast+
Deployer: WeatherForecast+</w:t>
            </w:r>
          </w:p>
        </w:tc>
        <w:tc>
          <w:tcPr>
            <w:tcW w:type="dxa" w:w="22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tcPr>
          <w:p>
            <w:pPr>
              <w:pStyle w:val="ListParagraph"/>
              <w:numPr>
                <w:ilvl w:val="0"/>
                <w:numId w:val="2"/>
              </w:numPr>
              <w:spacing w:after="30" w:before="30"/>
            </w:pPr>
            <w:r>
              <w:rPr>
                <w:rFonts w:ascii="Arial" w:cs="Arial" w:eastAsia="Arial" w:hAnsi="Arial"/>
                <w:sz w:val="20"/>
                <w:szCs w:val="20"/>
              </w:rPr>
              <w:t xml:space="preserve">No AI Act obligations — clear to deploy</w:t>
            </w:r>
          </w:p>
          <w:p>
            <w:pPr>
              <w:pStyle w:val="ListParagraph"/>
              <w:numPr>
                <w:ilvl w:val="0"/>
                <w:numId w:val="2"/>
              </w:numPr>
              <w:spacing w:after="30" w:before="30"/>
            </w:pPr>
            <w:r>
              <w:rPr>
                <w:rFonts w:ascii="Arial" w:cs="Arial" w:eastAsia="Arial" w:hAnsi="Arial"/>
                <w:sz w:val="20"/>
                <w:szCs w:val="20"/>
              </w:rPr>
              <w:t xml:space="preserve">GDPR: if user location collected, valid legal basis and privacy notice required</w:t>
            </w:r>
          </w:p>
          <w:p>
            <w:pPr>
              <w:pStyle w:val="ListParagraph"/>
              <w:numPr>
                <w:ilvl w:val="0"/>
                <w:numId w:val="2"/>
              </w:numPr>
              <w:spacing w:after="30" w:before="30"/>
            </w:pPr>
            <w:r>
              <w:rPr>
                <w:rFonts w:ascii="Arial" w:cs="Arial" w:eastAsia="Arial" w:hAnsi="Arial"/>
                <w:sz w:val="20"/>
                <w:szCs w:val="20"/>
              </w:rPr>
              <w:t xml:space="preserve">Ensure disclaimer is prominently visible, not buried in terms</w:t>
            </w:r>
          </w:p>
        </w:tc>
      </w:tr>
    </w:tbl>
    <w:p>
      <w:r>
        <w:br w:type="page"/>
      </w:r>
    </w:p>
    <w:p>
      <w:pPr>
        <w:spacing w:after="100" w:before="240"/>
      </w:pPr>
      <w:r>
        <w:rPr>
          <w:rFonts w:ascii="Arial" w:cs="Arial" w:eastAsia="Arial" w:hAnsi="Arial"/>
          <w:b/>
          <w:bCs/>
          <w:color w:val="1F3864"/>
          <w:sz w:val="28"/>
          <w:szCs w:val="28"/>
        </w:rPr>
        <w:t xml:space="preserve">2. Redesign Mandate — Prohibited AI System (Case 1: MobileBank)</w:t>
      </w:r>
    </w:p>
    <w:p>
      <w:pPr>
        <w:spacing w:after="60" w:before="60"/>
      </w:pPr>
      <w:r>
        <w:rPr>
          <w:rFonts w:ascii="Arial" w:cs="Arial" w:eastAsia="Arial" w:hAnsi="Arial"/>
          <w:b/>
          <w:bCs/>
          <w:color w:val="C00000"/>
          <w:sz w:val="20"/>
          <w:szCs w:val="20"/>
        </w:rPr>
        <w:t xml:space="preserve">Current proposal: Denied — </w:t>
      </w:r>
      <w:r>
        <w:rPr>
          <w:rFonts w:ascii="Arial" w:cs="Arial" w:eastAsia="Arial" w:hAnsi="Arial"/>
          <w:sz w:val="20"/>
          <w:szCs w:val="20"/>
        </w:rPr>
        <w:t xml:space="preserve">social media personality inference used to automate credit decisions constitutes prohibited social scoring under Article 5(1)(c).</w:t>
      </w:r>
    </w:p>
    <w:p>
      <w:pPr>
        <w:spacing w:after="0" w:before="80"/>
      </w:pPr>
      <w:r>
        <w:rPr>
          <w:rFonts w:ascii="Arial" w:cs="Arial" w:eastAsia="Arial" w:hAnsi="Arial"/>
          <w:sz w:val="20"/>
          <w:szCs w:val="20"/>
        </w:rPr>
        <w:t xml:space="preserve"/>
      </w:r>
    </w:p>
    <w:p>
      <w:pPr>
        <w:spacing w:after="60" w:before="60"/>
      </w:pPr>
      <w:r>
        <w:rPr>
          <w:rFonts w:ascii="Arial" w:cs="Arial" w:eastAsia="Arial" w:hAnsi="Arial"/>
          <w:b/>
          <w:bCs/>
          <w:color w:val="000000"/>
          <w:sz w:val="20"/>
          <w:szCs w:val="20"/>
        </w:rPr>
        <w:t xml:space="preserve">Lawful alternative recommendation (redesign):</w:t>
      </w:r>
    </w:p>
    <w:p>
      <w:pPr>
        <w:pStyle w:val="ListParagraph"/>
        <w:numPr>
          <w:ilvl w:val="0"/>
          <w:numId w:val="2"/>
        </w:numPr>
        <w:spacing w:after="30" w:before="30"/>
      </w:pPr>
      <w:r>
        <w:rPr>
          <w:rFonts w:ascii="Arial" w:cs="Arial" w:eastAsia="Arial" w:hAnsi="Arial"/>
          <w:b/>
          <w:bCs/>
          <w:color w:val="000000"/>
          <w:sz w:val="20"/>
          <w:szCs w:val="20"/>
        </w:rPr>
        <w:t xml:space="preserve">Remove all personality inference: </w:t>
      </w:r>
      <w:r>
        <w:rPr>
          <w:rFonts w:ascii="Arial" w:cs="Arial" w:eastAsia="Arial" w:hAnsi="Arial"/>
          <w:sz w:val="20"/>
          <w:szCs w:val="20"/>
        </w:rPr>
        <w:t xml:space="preserve">Social media content, inferred personality traits, and lifestyle signals must be eliminated entirely — these cannot be remediated with controls.</w:t>
      </w:r>
    </w:p>
    <w:p>
      <w:pPr>
        <w:pStyle w:val="ListParagraph"/>
        <w:numPr>
          <w:ilvl w:val="0"/>
          <w:numId w:val="2"/>
        </w:numPr>
        <w:spacing w:after="30" w:before="30"/>
      </w:pPr>
      <w:r>
        <w:rPr>
          <w:rFonts w:ascii="Arial" w:cs="Arial" w:eastAsia="Arial" w:hAnsi="Arial"/>
          <w:b/>
          <w:bCs/>
          <w:color w:val="000000"/>
          <w:sz w:val="20"/>
          <w:szCs w:val="20"/>
        </w:rPr>
        <w:t xml:space="preserve">Replace data sources: </w:t>
      </w:r>
      <w:r>
        <w:rPr>
          <w:rFonts w:ascii="Arial" w:cs="Arial" w:eastAsia="Arial" w:hAnsi="Arial"/>
          <w:sz w:val="20"/>
          <w:szCs w:val="20"/>
        </w:rPr>
        <w:t xml:space="preserve">Use permissible alternatives — rental payment history, utility bill payments, bank transaction patterns (with explicit GDPR consent), employment verification.</w:t>
      </w:r>
    </w:p>
    <w:p>
      <w:pPr>
        <w:pStyle w:val="ListParagraph"/>
        <w:numPr>
          <w:ilvl w:val="0"/>
          <w:numId w:val="2"/>
        </w:numPr>
        <w:spacing w:after="30" w:before="30"/>
      </w:pPr>
      <w:r>
        <w:rPr>
          <w:rFonts w:ascii="Arial" w:cs="Arial" w:eastAsia="Arial" w:hAnsi="Arial"/>
          <w:b/>
          <w:bCs/>
          <w:color w:val="000000"/>
          <w:sz w:val="20"/>
          <w:szCs w:val="20"/>
        </w:rPr>
        <w:t xml:space="preserve">Restore human oversight: </w:t>
      </w:r>
      <w:r>
        <w:rPr>
          <w:rFonts w:ascii="Arial" w:cs="Arial" w:eastAsia="Arial" w:hAnsi="Arial"/>
          <w:sz w:val="20"/>
          <w:szCs w:val="20"/>
        </w:rPr>
        <w:t xml:space="preserve">All decisions subject to human review before communication to applicants. A formal, documented appeal process is mandatory.</w:t>
      </w:r>
    </w:p>
    <w:p>
      <w:pPr>
        <w:pStyle w:val="ListParagraph"/>
        <w:numPr>
          <w:ilvl w:val="0"/>
          <w:numId w:val="2"/>
        </w:numPr>
        <w:spacing w:after="30" w:before="30"/>
      </w:pPr>
      <w:r>
        <w:rPr>
          <w:rFonts w:ascii="Arial" w:cs="Arial" w:eastAsia="Arial" w:hAnsi="Arial"/>
          <w:b/>
          <w:bCs/>
          <w:color w:val="000000"/>
          <w:sz w:val="20"/>
          <w:szCs w:val="20"/>
        </w:rPr>
        <w:t xml:space="preserve">Transparency: </w:t>
      </w:r>
      <w:r>
        <w:rPr>
          <w:rFonts w:ascii="Arial" w:cs="Arial" w:eastAsia="Arial" w:hAnsi="Arial"/>
          <w:sz w:val="20"/>
          <w:szCs w:val="20"/>
        </w:rPr>
        <w:t xml:space="preserve">Applicants must be informed that AI assists the credit assessment. Right to explanation provided on request.</w:t>
      </w:r>
    </w:p>
    <w:p>
      <w:pPr>
        <w:pStyle w:val="ListParagraph"/>
        <w:numPr>
          <w:ilvl w:val="0"/>
          <w:numId w:val="2"/>
        </w:numPr>
        <w:spacing w:after="30" w:before="30"/>
      </w:pPr>
      <w:r>
        <w:rPr>
          <w:rFonts w:ascii="Arial" w:cs="Arial" w:eastAsia="Arial" w:hAnsi="Arial"/>
          <w:b/>
          <w:bCs/>
          <w:color w:val="000000"/>
          <w:sz w:val="20"/>
          <w:szCs w:val="20"/>
        </w:rPr>
        <w:t xml:space="preserve">Result: </w:t>
      </w:r>
      <w:r>
        <w:rPr>
          <w:rFonts w:ascii="Arial" w:cs="Arial" w:eastAsia="Arial" w:hAnsi="Arial"/>
          <w:sz w:val="20"/>
          <w:szCs w:val="20"/>
        </w:rPr>
        <w:t xml:space="preserve">A compliant credit assessment tool. Would requalify as high-risk under Annex III (access to financial services) requiring a conformity assessment — but lawful and approvable.</w:t>
      </w:r>
    </w:p>
    <w:p>
      <w:r>
        <w:br w:type="page"/>
      </w:r>
    </w:p>
    <w:p>
      <w:pPr>
        <w:spacing w:after="100" w:before="240"/>
      </w:pPr>
      <w:r>
        <w:rPr>
          <w:rFonts w:ascii="Arial" w:cs="Arial" w:eastAsia="Arial" w:hAnsi="Arial"/>
          <w:b/>
          <w:bCs/>
          <w:color w:val="1F3864"/>
          <w:sz w:val="28"/>
          <w:szCs w:val="28"/>
        </w:rPr>
        <w:t xml:space="preserve">3. Architecture &amp; Operating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000"/>
        <w:gridCol w:w="2000"/>
        <w:gridCol w:w="1960"/>
      </w:tblGrid>
      <w:tr>
        <w:tc>
          <w:tcPr>
            <w:tcW w:type="dxa" w:w="13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Case</w:t>
            </w:r>
          </w:p>
        </w:tc>
        <w:tc>
          <w:tcPr>
            <w:tcW w:type="dxa" w:w="21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AI System Function</w:t>
            </w:r>
          </w:p>
        </w:tc>
        <w:tc>
          <w:tcPr>
            <w:tcW w:type="dxa" w:w="20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Inputs &amp; Signals</w:t>
            </w:r>
          </w:p>
        </w:tc>
        <w:tc>
          <w:tcPr>
            <w:tcW w:type="dxa" w:w="20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Human-in-the-Loop</w:t>
            </w:r>
          </w:p>
        </w:tc>
        <w:tc>
          <w:tcPr>
            <w:tcW w:type="dxa" w:w="196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Provider / Deployer</w:t>
            </w:r>
          </w:p>
        </w:tc>
      </w:tr>
      <w:tr>
        <w:tc>
          <w:tcPr>
            <w:tcW w:type="dxa" w:w="13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spacing w:after="60" w:before="60"/>
            </w:pPr>
            <w:r>
              <w:rPr>
                <w:rFonts w:ascii="Arial" w:cs="Arial" w:eastAsia="Arial" w:hAnsi="Arial"/>
                <w:b/>
                <w:bCs/>
                <w:color w:val="000000"/>
                <w:sz w:val="20"/>
                <w:szCs w:val="20"/>
              </w:rPr>
              <w:t xml:space="preserve">MobileBank
(redesigned)</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Credit risk assessment tool using permissible financial data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Bank transaction history, rental payments, utility bills (with GDPR consent) — no social media or inferred signals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Human credit officer reviews all decisions before communication; applicant appeal process in place</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Provider: MobileBank
Deployer: MobileBank</w:t>
            </w:r>
          </w:p>
        </w:tc>
      </w:tr>
      <w:tr>
        <w:tc>
          <w:tcPr>
            <w:tcW w:type="dxa" w:w="13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spacing w:after="60" w:before="60"/>
            </w:pPr>
            <w:r>
              <w:rPr>
                <w:rFonts w:ascii="Arial" w:cs="Arial" w:eastAsia="Arial" w:hAnsi="Arial"/>
                <w:b/>
                <w:bCs/>
                <w:color w:val="000000"/>
                <w:sz w:val="20"/>
                <w:szCs w:val="20"/>
              </w:rPr>
              <w:t xml:space="preserve">RetailFlow</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AI-assisted shift scheduling and bonus allocation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Worker profiles, productivity scores, employment history, commute distance, family size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Manager reviews recommendations; formalised override with documentation; workers can appeal</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Provider: Scheduling vendor
Deployer: RetailFlow</w:t>
            </w:r>
          </w:p>
        </w:tc>
      </w:tr>
      <w:tr>
        <w:tc>
          <w:tcPr>
            <w:tcW w:type="dxa" w:w="13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spacing w:after="60" w:before="60"/>
            </w:pPr>
            <w:r>
              <w:rPr>
                <w:rFonts w:ascii="Arial" w:cs="Arial" w:eastAsia="Arial" w:hAnsi="Arial"/>
                <w:b/>
                <w:bCs/>
                <w:color w:val="000000"/>
                <w:sz w:val="20"/>
                <w:szCs w:val="20"/>
              </w:rPr>
              <w:t xml:space="preserve">EduAssess</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Student dropout risk scoring for advisor-led outreach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Grades, attendance, library usage, LMS engagement metrics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Academic advisor reviews score before contacting students; advisor makes all outreach decisions; can act on non-flagged students</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Provider: EduAssess
Deployer: University</w:t>
            </w:r>
          </w:p>
        </w:tc>
      </w:tr>
      <w:tr>
        <w:tc>
          <w:tcPr>
            <w:tcW w:type="dxa" w:w="13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spacing w:after="60" w:before="60"/>
            </w:pPr>
            <w:r>
              <w:rPr>
                <w:rFonts w:ascii="Arial" w:cs="Arial" w:eastAsia="Arial" w:hAnsi="Arial"/>
                <w:b/>
                <w:bCs/>
                <w:color w:val="000000"/>
                <w:sz w:val="20"/>
                <w:szCs w:val="20"/>
              </w:rPr>
              <w:t xml:space="preserve">WeatherForecast+</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Hyperlocal 6-hour rainfall prediction for irrigation planning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Satellite imagery, IoT temperature sensors, historical weather datasets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None required — advisory tool with accuracy disclaimer; voluntary use by general public</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60" w:before="60"/>
            </w:pPr>
            <w:r>
              <w:rPr>
                <w:rFonts w:ascii="Arial" w:cs="Arial" w:eastAsia="Arial" w:hAnsi="Arial"/>
                <w:sz w:val="20"/>
                <w:szCs w:val="20"/>
              </w:rPr>
              <w:t xml:space="preserve">Provider: WeatherForecast+
Deployer: WeatherForecast+</w:t>
            </w:r>
          </w:p>
        </w:tc>
      </w:tr>
    </w:tbl>
    <w:p>
      <w:r>
        <w:br w:type="page"/>
      </w:r>
    </w:p>
    <w:p>
      <w:pPr>
        <w:spacing w:after="100" w:before="240"/>
      </w:pPr>
      <w:r>
        <w:rPr>
          <w:rFonts w:ascii="Arial" w:cs="Arial" w:eastAsia="Arial" w:hAnsi="Arial"/>
          <w:b/>
          <w:bCs/>
          <w:color w:val="1F3864"/>
          <w:sz w:val="28"/>
          <w:szCs w:val="28"/>
        </w:rPr>
        <w:t xml:space="preserve">4. Obligations &amp; Compliance Controls by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60"/>
        <w:gridCol w:w="3300"/>
      </w:tblGrid>
      <w:tr>
        <w:tc>
          <w:tcPr>
            <w:tcW w:type="dxa" w:w="13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Case</w:t>
            </w:r>
          </w:p>
        </w:tc>
        <w:tc>
          <w:tcPr>
            <w:tcW w:type="dxa" w:w="476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Core Obligations (AI Act + ancillary)</w:t>
            </w:r>
          </w:p>
        </w:tc>
        <w:tc>
          <w:tcPr>
            <w:tcW w:type="dxa" w:w="33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spacing w:after="40" w:before="40"/>
            </w:pPr>
            <w:r>
              <w:rPr>
                <w:rFonts w:ascii="Arial" w:cs="Arial" w:eastAsia="Arial" w:hAnsi="Arial"/>
                <w:b/>
                <w:bCs/>
                <w:color w:val="FFFFFF"/>
                <w:sz w:val="20"/>
                <w:szCs w:val="20"/>
              </w:rPr>
              <w:t xml:space="preserve">Implementation Artefacts</w:t>
            </w:r>
          </w:p>
        </w:tc>
      </w:tr>
      <w:tr>
        <w:tc>
          <w:tcPr>
            <w:tcW w:type="dxa" w:w="13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spacing w:after="60" w:before="60"/>
            </w:pPr>
            <w:r>
              <w:rPr>
                <w:rFonts w:ascii="Arial" w:cs="Arial" w:eastAsia="Arial" w:hAnsi="Arial"/>
                <w:b/>
                <w:bCs/>
                <w:color w:val="000000"/>
                <w:sz w:val="20"/>
                <w:szCs w:val="20"/>
              </w:rPr>
              <w:t xml:space="preserve">MobileBank
(redesign)</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pStyle w:val="ListParagraph"/>
              <w:numPr>
                <w:ilvl w:val="0"/>
                <w:numId w:val="2"/>
              </w:numPr>
              <w:spacing w:after="30" w:before="30"/>
            </w:pPr>
            <w:r>
              <w:rPr>
                <w:rFonts w:ascii="Arial" w:cs="Arial" w:eastAsia="Arial" w:hAnsi="Arial"/>
                <w:sz w:val="20"/>
                <w:szCs w:val="20"/>
              </w:rPr>
              <w:t xml:space="preserve">Art. 5 prohibition avoided via full redesign — prohibited elements eliminated</w:t>
            </w:r>
          </w:p>
          <w:p>
            <w:pPr>
              <w:pStyle w:val="ListParagraph"/>
              <w:numPr>
                <w:ilvl w:val="0"/>
                <w:numId w:val="2"/>
              </w:numPr>
              <w:spacing w:after="30" w:before="30"/>
            </w:pPr>
            <w:r>
              <w:rPr>
                <w:rFonts w:ascii="Arial" w:cs="Arial" w:eastAsia="Arial" w:hAnsi="Arial"/>
                <w:sz w:val="20"/>
                <w:szCs w:val="20"/>
              </w:rPr>
              <w:t xml:space="preserve">GDPR Art. 22: right to human review for automated decisions with significant effect</w:t>
            </w:r>
          </w:p>
          <w:p>
            <w:pPr>
              <w:pStyle w:val="ListParagraph"/>
              <w:numPr>
                <w:ilvl w:val="0"/>
                <w:numId w:val="2"/>
              </w:numPr>
              <w:spacing w:after="30" w:before="30"/>
            </w:pPr>
            <w:r>
              <w:rPr>
                <w:rFonts w:ascii="Arial" w:cs="Arial" w:eastAsia="Arial" w:hAnsi="Arial"/>
                <w:sz w:val="20"/>
                <w:szCs w:val="20"/>
              </w:rPr>
              <w:t xml:space="preserve">GDPR Art. 9: inferred personality traits may constitute special category data — must not be used</w:t>
            </w:r>
          </w:p>
          <w:p>
            <w:pPr>
              <w:pStyle w:val="ListParagraph"/>
              <w:numPr>
                <w:ilvl w:val="0"/>
                <w:numId w:val="2"/>
              </w:numPr>
              <w:spacing w:after="30" w:before="30"/>
            </w:pPr>
            <w:r>
              <w:rPr>
                <w:rFonts w:ascii="Arial" w:cs="Arial" w:eastAsia="Arial" w:hAnsi="Arial"/>
                <w:sz w:val="20"/>
                <w:szCs w:val="20"/>
              </w:rPr>
              <w:t xml:space="preserve">Redesigned system will qualify as high-risk (Annex III, access to financial services) — conformity assessment required before relaunch</w:t>
            </w:r>
          </w:p>
        </w:tc>
        <w:tc>
          <w:tcPr>
            <w:tcW w:type="dxa" w:w="33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tcPr>
          <w:p>
            <w:pPr>
              <w:pStyle w:val="ListParagraph"/>
              <w:numPr>
                <w:ilvl w:val="0"/>
                <w:numId w:val="2"/>
              </w:numPr>
              <w:spacing w:after="30" w:before="30"/>
            </w:pPr>
            <w:r>
              <w:rPr>
                <w:rFonts w:ascii="Arial" w:cs="Arial" w:eastAsia="Arial" w:hAnsi="Arial"/>
                <w:sz w:val="20"/>
                <w:szCs w:val="20"/>
              </w:rPr>
              <w:t xml:space="preserve">Human underwriting policy document</w:t>
            </w:r>
          </w:p>
          <w:p>
            <w:pPr>
              <w:pStyle w:val="ListParagraph"/>
              <w:numPr>
                <w:ilvl w:val="0"/>
                <w:numId w:val="2"/>
              </w:numPr>
              <w:spacing w:after="30" w:before="30"/>
            </w:pPr>
            <w:r>
              <w:rPr>
                <w:rFonts w:ascii="Arial" w:cs="Arial" w:eastAsia="Arial" w:hAnsi="Arial"/>
                <w:sz w:val="20"/>
                <w:szCs w:val="20"/>
              </w:rPr>
              <w:t xml:space="preserve">Applicant-facing explanation of AI role in assessment</w:t>
            </w:r>
          </w:p>
          <w:p>
            <w:pPr>
              <w:pStyle w:val="ListParagraph"/>
              <w:numPr>
                <w:ilvl w:val="0"/>
                <w:numId w:val="2"/>
              </w:numPr>
              <w:spacing w:after="30" w:before="30"/>
            </w:pPr>
            <w:r>
              <w:rPr>
                <w:rFonts w:ascii="Arial" w:cs="Arial" w:eastAsia="Arial" w:hAnsi="Arial"/>
                <w:sz w:val="20"/>
                <w:szCs w:val="20"/>
              </w:rPr>
              <w:t xml:space="preserve">Audit logs for all decisions</w:t>
            </w:r>
          </w:p>
          <w:p>
            <w:pPr>
              <w:pStyle w:val="ListParagraph"/>
              <w:numPr>
                <w:ilvl w:val="0"/>
                <w:numId w:val="2"/>
              </w:numPr>
              <w:spacing w:after="30" w:before="30"/>
            </w:pPr>
            <w:r>
              <w:rPr>
                <w:rFonts w:ascii="Arial" w:cs="Arial" w:eastAsia="Arial" w:hAnsi="Arial"/>
                <w:sz w:val="20"/>
                <w:szCs w:val="20"/>
              </w:rPr>
              <w:t xml:space="preserve">Conformity assessment documentation</w:t>
            </w:r>
          </w:p>
        </w:tc>
      </w:tr>
      <w:tr>
        <w:tc>
          <w:tcPr>
            <w:tcW w:type="dxa" w:w="13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spacing w:after="60" w:before="60"/>
            </w:pPr>
            <w:r>
              <w:rPr>
                <w:rFonts w:ascii="Arial" w:cs="Arial" w:eastAsia="Arial" w:hAnsi="Arial"/>
                <w:b/>
                <w:bCs/>
                <w:color w:val="000000"/>
                <w:sz w:val="20"/>
                <w:szCs w:val="20"/>
              </w:rPr>
              <w:t xml:space="preserve">RetailFlow</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pStyle w:val="ListParagraph"/>
              <w:numPr>
                <w:ilvl w:val="0"/>
                <w:numId w:val="2"/>
              </w:numPr>
              <w:spacing w:after="30" w:before="30"/>
            </w:pPr>
            <w:r>
              <w:rPr>
                <w:rFonts w:ascii="Arial" w:cs="Arial" w:eastAsia="Arial" w:hAnsi="Arial"/>
                <w:sz w:val="20"/>
                <w:szCs w:val="20"/>
              </w:rPr>
              <w:t xml:space="preserve">Annex III pt. 4: high-risk — full conformity assessment required before deployment</w:t>
            </w:r>
          </w:p>
          <w:p>
            <w:pPr>
              <w:pStyle w:val="ListParagraph"/>
              <w:numPr>
                <w:ilvl w:val="0"/>
                <w:numId w:val="2"/>
              </w:numPr>
              <w:spacing w:after="30" w:before="30"/>
            </w:pPr>
            <w:r>
              <w:rPr>
                <w:rFonts w:ascii="Arial" w:cs="Arial" w:eastAsia="Arial" w:hAnsi="Arial"/>
                <w:sz w:val="20"/>
                <w:szCs w:val="20"/>
              </w:rPr>
              <w:t xml:space="preserve">Art. 9 (Risk Management): bias testing on personal circumstance inputs mandatory</w:t>
            </w:r>
          </w:p>
          <w:p>
            <w:pPr>
              <w:pStyle w:val="ListParagraph"/>
              <w:numPr>
                <w:ilvl w:val="0"/>
                <w:numId w:val="2"/>
              </w:numPr>
              <w:spacing w:after="30" w:before="30"/>
            </w:pPr>
            <w:r>
              <w:rPr>
                <w:rFonts w:ascii="Arial" w:cs="Arial" w:eastAsia="Arial" w:hAnsi="Arial"/>
                <w:sz w:val="20"/>
                <w:szCs w:val="20"/>
              </w:rPr>
              <w:t xml:space="preserve">Art. 10 (Data Governance): family size and commute data reviewed for protected characteristic proxies</w:t>
            </w:r>
          </w:p>
          <w:p>
            <w:pPr>
              <w:pStyle w:val="ListParagraph"/>
              <w:numPr>
                <w:ilvl w:val="0"/>
                <w:numId w:val="2"/>
              </w:numPr>
              <w:spacing w:after="30" w:before="30"/>
            </w:pPr>
            <w:r>
              <w:rPr>
                <w:rFonts w:ascii="Arial" w:cs="Arial" w:eastAsia="Arial" w:hAnsi="Arial"/>
                <w:sz w:val="20"/>
                <w:szCs w:val="20"/>
              </w:rPr>
              <w:t xml:space="preserve">Art. 13 (Transparency): workers informed before activation</w:t>
            </w:r>
          </w:p>
          <w:p>
            <w:pPr>
              <w:pStyle w:val="ListParagraph"/>
              <w:numPr>
                <w:ilvl w:val="0"/>
                <w:numId w:val="2"/>
              </w:numPr>
              <w:spacing w:after="30" w:before="30"/>
            </w:pPr>
            <w:r>
              <w:rPr>
                <w:rFonts w:ascii="Arial" w:cs="Arial" w:eastAsia="Arial" w:hAnsi="Arial"/>
                <w:sz w:val="20"/>
                <w:szCs w:val="20"/>
              </w:rPr>
              <w:t xml:space="preserve">Art. 14 (Human Oversight): override must be genuine — managers trained, rates tracked</w:t>
            </w:r>
          </w:p>
          <w:p>
            <w:pPr>
              <w:pStyle w:val="ListParagraph"/>
              <w:numPr>
                <w:ilvl w:val="0"/>
                <w:numId w:val="2"/>
              </w:numPr>
              <w:spacing w:after="30" w:before="30"/>
            </w:pPr>
            <w:r>
              <w:rPr>
                <w:rFonts w:ascii="Arial" w:cs="Arial" w:eastAsia="Arial" w:hAnsi="Arial"/>
                <w:sz w:val="20"/>
                <w:szCs w:val="20"/>
              </w:rPr>
              <w:t xml:space="preserve">Art. 72 (Post-Market Monitoring): monitor for disparate impact across gender, age, family status</w:t>
            </w:r>
          </w:p>
          <w:p>
            <w:pPr>
              <w:pStyle w:val="ListParagraph"/>
              <w:numPr>
                <w:ilvl w:val="0"/>
                <w:numId w:val="2"/>
              </w:numPr>
              <w:spacing w:after="30" w:before="30"/>
            </w:pPr>
            <w:r>
              <w:rPr>
                <w:rFonts w:ascii="Arial" w:cs="Arial" w:eastAsia="Arial" w:hAnsi="Arial"/>
                <w:sz w:val="20"/>
                <w:szCs w:val="20"/>
              </w:rPr>
              <w:t xml:space="preserve">FRIA required as deployer in employment context</w:t>
            </w:r>
          </w:p>
        </w:tc>
        <w:tc>
          <w:tcPr>
            <w:tcW w:type="dxa" w:w="33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tcPr>
          <w:p>
            <w:pPr>
              <w:pStyle w:val="ListParagraph"/>
              <w:numPr>
                <w:ilvl w:val="0"/>
                <w:numId w:val="2"/>
              </w:numPr>
              <w:spacing w:after="30" w:before="30"/>
            </w:pPr>
            <w:r>
              <w:rPr>
                <w:rFonts w:ascii="Arial" w:cs="Arial" w:eastAsia="Arial" w:hAnsi="Arial"/>
                <w:sz w:val="20"/>
                <w:szCs w:val="20"/>
              </w:rPr>
              <w:t xml:space="preserve">FRIA report</w:t>
            </w:r>
          </w:p>
          <w:p>
            <w:pPr>
              <w:pStyle w:val="ListParagraph"/>
              <w:numPr>
                <w:ilvl w:val="0"/>
                <w:numId w:val="2"/>
              </w:numPr>
              <w:spacing w:after="30" w:before="30"/>
            </w:pPr>
            <w:r>
              <w:rPr>
                <w:rFonts w:ascii="Arial" w:cs="Arial" w:eastAsia="Arial" w:hAnsi="Arial"/>
                <w:sz w:val="20"/>
                <w:szCs w:val="20"/>
              </w:rPr>
              <w:t xml:space="preserve">Worker transparency notice</w:t>
            </w:r>
          </w:p>
          <w:p>
            <w:pPr>
              <w:pStyle w:val="ListParagraph"/>
              <w:numPr>
                <w:ilvl w:val="0"/>
                <w:numId w:val="2"/>
              </w:numPr>
              <w:spacing w:after="30" w:before="30"/>
            </w:pPr>
            <w:r>
              <w:rPr>
                <w:rFonts w:ascii="Arial" w:cs="Arial" w:eastAsia="Arial" w:hAnsi="Arial"/>
                <w:sz w:val="20"/>
                <w:szCs w:val="20"/>
              </w:rPr>
              <w:t xml:space="preserve">Override documentation and quarterly review log</w:t>
            </w:r>
          </w:p>
          <w:p>
            <w:pPr>
              <w:pStyle w:val="ListParagraph"/>
              <w:numPr>
                <w:ilvl w:val="0"/>
                <w:numId w:val="2"/>
              </w:numPr>
              <w:spacing w:after="30" w:before="30"/>
            </w:pPr>
            <w:r>
              <w:rPr>
                <w:rFonts w:ascii="Arial" w:cs="Arial" w:eastAsia="Arial" w:hAnsi="Arial"/>
                <w:sz w:val="20"/>
                <w:szCs w:val="20"/>
              </w:rPr>
              <w:t xml:space="preserve">Formal appeal process with defined timelines</w:t>
            </w:r>
          </w:p>
          <w:p>
            <w:pPr>
              <w:pStyle w:val="ListParagraph"/>
              <w:numPr>
                <w:ilvl w:val="0"/>
                <w:numId w:val="2"/>
              </w:numPr>
              <w:spacing w:after="30" w:before="30"/>
            </w:pPr>
            <w:r>
              <w:rPr>
                <w:rFonts w:ascii="Arial" w:cs="Arial" w:eastAsia="Arial" w:hAnsi="Arial"/>
                <w:sz w:val="20"/>
                <w:szCs w:val="20"/>
              </w:rPr>
              <w:t xml:space="preserve">Vendor conformity declaration</w:t>
            </w:r>
          </w:p>
        </w:tc>
      </w:tr>
      <w:tr>
        <w:tc>
          <w:tcPr>
            <w:tcW w:type="dxa" w:w="13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spacing w:after="60" w:before="60"/>
            </w:pPr>
            <w:r>
              <w:rPr>
                <w:rFonts w:ascii="Arial" w:cs="Arial" w:eastAsia="Arial" w:hAnsi="Arial"/>
                <w:b/>
                <w:bCs/>
                <w:color w:val="000000"/>
                <w:sz w:val="20"/>
                <w:szCs w:val="20"/>
              </w:rPr>
              <w:t xml:space="preserve">EduAssess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pStyle w:val="ListParagraph"/>
              <w:numPr>
                <w:ilvl w:val="0"/>
                <w:numId w:val="2"/>
              </w:numPr>
              <w:spacing w:after="30" w:before="30"/>
            </w:pPr>
            <w:r>
              <w:rPr>
                <w:rFonts w:ascii="Arial" w:cs="Arial" w:eastAsia="Arial" w:hAnsi="Arial"/>
                <w:sz w:val="20"/>
                <w:szCs w:val="20"/>
              </w:rPr>
              <w:t xml:space="preserve">Annex III pt. 3: high-risk — conformity assessment required from EduAssess as provider</w:t>
            </w:r>
          </w:p>
          <w:p>
            <w:pPr>
              <w:pStyle w:val="ListParagraph"/>
              <w:numPr>
                <w:ilvl w:val="0"/>
                <w:numId w:val="2"/>
              </w:numPr>
              <w:spacing w:after="30" w:before="30"/>
            </w:pPr>
            <w:r>
              <w:rPr>
                <w:rFonts w:ascii="Arial" w:cs="Arial" w:eastAsia="Arial" w:hAnsi="Arial"/>
                <w:sz w:val="20"/>
                <w:szCs w:val="20"/>
              </w:rPr>
              <w:t xml:space="preserve">Art. 9 (Risk Management): false negative rate must be tracked and disclosed</w:t>
            </w:r>
          </w:p>
          <w:p>
            <w:pPr>
              <w:pStyle w:val="ListParagraph"/>
              <w:numPr>
                <w:ilvl w:val="0"/>
                <w:numId w:val="2"/>
              </w:numPr>
              <w:spacing w:after="30" w:before="30"/>
            </w:pPr>
            <w:r>
              <w:rPr>
                <w:rFonts w:ascii="Arial" w:cs="Arial" w:eastAsia="Arial" w:hAnsi="Arial"/>
                <w:sz w:val="20"/>
                <w:szCs w:val="20"/>
              </w:rPr>
              <w:t xml:space="preserve">Art. 13 (Transparency): university must receive full technical documentation; advisors trained on limitations</w:t>
            </w:r>
          </w:p>
          <w:p>
            <w:pPr>
              <w:pStyle w:val="ListParagraph"/>
              <w:numPr>
                <w:ilvl w:val="0"/>
                <w:numId w:val="2"/>
              </w:numPr>
              <w:spacing w:after="30" w:before="30"/>
            </w:pPr>
            <w:r>
              <w:rPr>
                <w:rFonts w:ascii="Arial" w:cs="Arial" w:eastAsia="Arial" w:hAnsi="Arial"/>
                <w:sz w:val="20"/>
                <w:szCs w:val="20"/>
              </w:rPr>
              <w:t xml:space="preserve">Art. 14 (Human Oversight): advisors must be able to act on non-flagged students without friction</w:t>
            </w:r>
          </w:p>
          <w:p>
            <w:pPr>
              <w:pStyle w:val="ListParagraph"/>
              <w:numPr>
                <w:ilvl w:val="0"/>
                <w:numId w:val="2"/>
              </w:numPr>
              <w:spacing w:after="30" w:before="30"/>
            </w:pPr>
            <w:r>
              <w:rPr>
                <w:rFonts w:ascii="Arial" w:cs="Arial" w:eastAsia="Arial" w:hAnsi="Arial"/>
                <w:sz w:val="20"/>
                <w:szCs w:val="20"/>
              </w:rPr>
              <w:t xml:space="preserve">Art. 72 (Post-Market Monitoring): monitor for demographic bias in flagging rates</w:t>
            </w:r>
          </w:p>
          <w:p>
            <w:pPr>
              <w:pStyle w:val="ListParagraph"/>
              <w:numPr>
                <w:ilvl w:val="0"/>
                <w:numId w:val="2"/>
              </w:numPr>
              <w:spacing w:after="30" w:before="30"/>
            </w:pPr>
            <w:r>
              <w:rPr>
                <w:rFonts w:ascii="Arial" w:cs="Arial" w:eastAsia="Arial" w:hAnsi="Arial"/>
                <w:sz w:val="20"/>
                <w:szCs w:val="20"/>
              </w:rPr>
              <w:t xml:space="preserve">GDPR: valid legal basis required for student data processing; privacy notices updated</w:t>
            </w:r>
          </w:p>
        </w:tc>
        <w:tc>
          <w:tcPr>
            <w:tcW w:type="dxa" w:w="33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tcPr>
          <w:p>
            <w:pPr>
              <w:pStyle w:val="ListParagraph"/>
              <w:numPr>
                <w:ilvl w:val="0"/>
                <w:numId w:val="2"/>
              </w:numPr>
              <w:spacing w:after="30" w:before="30"/>
            </w:pPr>
            <w:r>
              <w:rPr>
                <w:rFonts w:ascii="Arial" w:cs="Arial" w:eastAsia="Arial" w:hAnsi="Arial"/>
                <w:sz w:val="20"/>
                <w:szCs w:val="20"/>
              </w:rPr>
              <w:t xml:space="preserve">FRIA report (university)</w:t>
            </w:r>
          </w:p>
          <w:p>
            <w:pPr>
              <w:pStyle w:val="ListParagraph"/>
              <w:numPr>
                <w:ilvl w:val="0"/>
                <w:numId w:val="2"/>
              </w:numPr>
              <w:spacing w:after="30" w:before="30"/>
            </w:pPr>
            <w:r>
              <w:rPr>
                <w:rFonts w:ascii="Arial" w:cs="Arial" w:eastAsia="Arial" w:hAnsi="Arial"/>
                <w:sz w:val="20"/>
                <w:szCs w:val="20"/>
              </w:rPr>
              <w:t xml:space="preserve">Conformity documentation and accuracy benchmarks (EduAssess)</w:t>
            </w:r>
          </w:p>
          <w:p>
            <w:pPr>
              <w:pStyle w:val="ListParagraph"/>
              <w:numPr>
                <w:ilvl w:val="0"/>
                <w:numId w:val="2"/>
              </w:numPr>
              <w:spacing w:after="30" w:before="30"/>
            </w:pPr>
            <w:r>
              <w:rPr>
                <w:rFonts w:ascii="Arial" w:cs="Arial" w:eastAsia="Arial" w:hAnsi="Arial"/>
                <w:sz w:val="20"/>
                <w:szCs w:val="20"/>
              </w:rPr>
              <w:t xml:space="preserve">Advisor training materials</w:t>
            </w:r>
          </w:p>
          <w:p>
            <w:pPr>
              <w:pStyle w:val="ListParagraph"/>
              <w:numPr>
                <w:ilvl w:val="0"/>
                <w:numId w:val="2"/>
              </w:numPr>
              <w:spacing w:after="30" w:before="30"/>
            </w:pPr>
            <w:r>
              <w:rPr>
                <w:rFonts w:ascii="Arial" w:cs="Arial" w:eastAsia="Arial" w:hAnsi="Arial"/>
                <w:sz w:val="20"/>
                <w:szCs w:val="20"/>
              </w:rPr>
              <w:t xml:space="preserve">Feedback loop from advisors to provider for post-market monitoring</w:t>
            </w:r>
          </w:p>
          <w:p>
            <w:pPr>
              <w:pStyle w:val="ListParagraph"/>
              <w:numPr>
                <w:ilvl w:val="0"/>
                <w:numId w:val="2"/>
              </w:numPr>
              <w:spacing w:after="30" w:before="30"/>
            </w:pPr>
            <w:r>
              <w:rPr>
                <w:rFonts w:ascii="Arial" w:cs="Arial" w:eastAsia="Arial" w:hAnsi="Arial"/>
                <w:sz w:val="20"/>
                <w:szCs w:val="20"/>
              </w:rPr>
              <w:t xml:space="preserve">Legal review on student disclosure obligations</w:t>
            </w:r>
          </w:p>
        </w:tc>
      </w:tr>
      <w:tr>
        <w:tc>
          <w:tcPr>
            <w:tcW w:type="dxa" w:w="1300"/>
            <w:tcBorders>
              <w:top w:val="single" w:color="CCCCCC" w:sz="1"/>
              <w:left w:val="single" w:color="CCCCCC" w:sz="1"/>
              <w:bottom w:val="single" w:color="CCCCCC" w:sz="1"/>
              <w:right w:val="single" w:color="CCCCCC" w:sz="1"/>
            </w:tcBorders>
            <w:shd w:fill="F0F4FB" w:val="clear"/>
            <w:tcMar>
              <w:top w:type="dxa" w:w="90"/>
              <w:left w:type="dxa" w:w="130"/>
              <w:bottom w:type="dxa" w:w="90"/>
              <w:right w:type="dxa" w:w="130"/>
            </w:tcMar>
          </w:tcPr>
          <w:p>
            <w:pPr>
              <w:spacing w:after="60" w:before="60"/>
            </w:pPr>
            <w:r>
              <w:rPr>
                <w:rFonts w:ascii="Arial" w:cs="Arial" w:eastAsia="Arial" w:hAnsi="Arial"/>
                <w:b/>
                <w:bCs/>
                <w:color w:val="000000"/>
                <w:sz w:val="20"/>
                <w:szCs w:val="20"/>
              </w:rPr>
              <w:t xml:space="preserve">WeatherForecast+</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pStyle w:val="ListParagraph"/>
              <w:numPr>
                <w:ilvl w:val="0"/>
                <w:numId w:val="2"/>
              </w:numPr>
              <w:spacing w:after="30" w:before="30"/>
            </w:pPr>
            <w:r>
              <w:rPr>
                <w:rFonts w:ascii="Arial" w:cs="Arial" w:eastAsia="Arial" w:hAnsi="Arial"/>
                <w:sz w:val="20"/>
                <w:szCs w:val="20"/>
              </w:rPr>
              <w:t xml:space="preserve">AI Act: no specific obligations — minimal risk</w:t>
            </w:r>
          </w:p>
          <w:p>
            <w:pPr>
              <w:pStyle w:val="ListParagraph"/>
              <w:numPr>
                <w:ilvl w:val="0"/>
                <w:numId w:val="2"/>
              </w:numPr>
              <w:spacing w:after="30" w:before="30"/>
            </w:pPr>
            <w:r>
              <w:rPr>
                <w:rFonts w:ascii="Arial" w:cs="Arial" w:eastAsia="Arial" w:hAnsi="Arial"/>
                <w:sz w:val="20"/>
                <w:szCs w:val="20"/>
              </w:rPr>
              <w:t xml:space="preserve">GDPR: if user location collected for hyperlocal forecasts, valid legal basis and privacy notice required</w:t>
            </w:r>
          </w:p>
          <w:p>
            <w:pPr>
              <w:pStyle w:val="ListParagraph"/>
              <w:numPr>
                <w:ilvl w:val="0"/>
                <w:numId w:val="2"/>
              </w:numPr>
              <w:spacing w:after="30" w:before="30"/>
            </w:pPr>
            <w:r>
              <w:rPr>
                <w:rFonts w:ascii="Arial" w:cs="Arial" w:eastAsia="Arial" w:hAnsi="Arial"/>
                <w:sz w:val="20"/>
                <w:szCs w:val="20"/>
              </w:rPr>
              <w:t xml:space="preserve">Consumer protection: disclaimer must be prominently visible</w:t>
            </w:r>
          </w:p>
          <w:p>
            <w:pPr>
              <w:pStyle w:val="ListParagraph"/>
              <w:numPr>
                <w:ilvl w:val="0"/>
                <w:numId w:val="2"/>
              </w:numPr>
              <w:spacing w:after="30" w:before="30"/>
            </w:pPr>
            <w:r>
              <w:rPr>
                <w:rFonts w:ascii="Arial" w:cs="Arial" w:eastAsia="Arial" w:hAnsi="Arial"/>
                <w:sz w:val="20"/>
                <w:szCs w:val="20"/>
              </w:rPr>
              <w:t xml:space="preserve">If system later integrates with automated irrigation machinery, risk tier must be reassessed</w:t>
            </w:r>
          </w:p>
        </w:tc>
        <w:tc>
          <w:tcPr>
            <w:tcW w:type="dxa" w:w="3300"/>
            <w:tcBorders>
              <w:top w:val="single" w:color="CCCCCC" w:sz="1"/>
              <w:left w:val="single" w:color="CCCCCC" w:sz="1"/>
              <w:bottom w:val="single" w:color="CCCCCC" w:sz="1"/>
              <w:right w:val="single" w:color="CCCCCC" w:sz="1"/>
            </w:tcBorders>
            <w:shd w:fill="FAFAFA" w:val="clear"/>
            <w:tcMar>
              <w:top w:type="dxa" w:w="90"/>
              <w:left w:type="dxa" w:w="130"/>
              <w:bottom w:type="dxa" w:w="90"/>
              <w:right w:type="dxa" w:w="130"/>
            </w:tcMar>
          </w:tcPr>
          <w:p>
            <w:pPr>
              <w:pStyle w:val="ListParagraph"/>
              <w:numPr>
                <w:ilvl w:val="0"/>
                <w:numId w:val="2"/>
              </w:numPr>
              <w:spacing w:after="30" w:before="30"/>
            </w:pPr>
            <w:r>
              <w:rPr>
                <w:rFonts w:ascii="Arial" w:cs="Arial" w:eastAsia="Arial" w:hAnsi="Arial"/>
                <w:sz w:val="20"/>
                <w:szCs w:val="20"/>
              </w:rPr>
              <w:t xml:space="preserve">Privacy notice (if location data collected)</w:t>
            </w:r>
          </w:p>
          <w:p>
            <w:pPr>
              <w:pStyle w:val="ListParagraph"/>
              <w:numPr>
                <w:ilvl w:val="0"/>
                <w:numId w:val="2"/>
              </w:numPr>
              <w:spacing w:after="30" w:before="30"/>
            </w:pPr>
            <w:r>
              <w:rPr>
                <w:rFonts w:ascii="Arial" w:cs="Arial" w:eastAsia="Arial" w:hAnsi="Arial"/>
                <w:sz w:val="20"/>
                <w:szCs w:val="20"/>
              </w:rPr>
              <w:t xml:space="preserve">Data processing agreement with any data vendors</w:t>
            </w:r>
          </w:p>
          <w:p>
            <w:pPr>
              <w:pStyle w:val="ListParagraph"/>
              <w:numPr>
                <w:ilvl w:val="0"/>
                <w:numId w:val="2"/>
              </w:numPr>
              <w:spacing w:after="30" w:before="30"/>
            </w:pPr>
            <w:r>
              <w:rPr>
                <w:rFonts w:ascii="Arial" w:cs="Arial" w:eastAsia="Arial" w:hAnsi="Arial"/>
                <w:sz w:val="20"/>
                <w:szCs w:val="20"/>
              </w:rPr>
              <w:t xml:space="preserve">Optional: internal logging policy as best practice</w:t>
            </w:r>
          </w:p>
        </w:tc>
      </w:tr>
    </w:tbl>
    <w:p>
      <w:r>
        <w:br w:type="page"/>
      </w:r>
    </w:p>
    <w:p>
      <w:pPr>
        <w:spacing w:after="100" w:before="240"/>
      </w:pPr>
      <w:r>
        <w:rPr>
          <w:rFonts w:ascii="Arial" w:cs="Arial" w:eastAsia="Arial" w:hAnsi="Arial"/>
          <w:b/>
          <w:bCs/>
          <w:color w:val="1F3864"/>
          <w:sz w:val="28"/>
          <w:szCs w:val="28"/>
        </w:rPr>
        <w:t xml:space="preserve">5. Client Discussion &amp; Final Sign-Off</w:t>
      </w:r>
    </w:p>
    <w:p>
      <w:pPr>
        <w:spacing w:after="60" w:before="60"/>
      </w:pPr>
      <w:r>
        <w:rPr>
          <w:rFonts w:ascii="Arial" w:cs="Arial" w:eastAsia="Arial" w:hAnsi="Arial"/>
          <w:b/>
          <w:bCs/>
          <w:color w:val="000000"/>
          <w:sz w:val="20"/>
          <w:szCs w:val="20"/>
        </w:rPr>
        <w:t xml:space="preserve">Live review outcomes (consultant–client alignment):</w:t>
      </w:r>
    </w:p>
    <w:p>
      <w:pPr>
        <w:pStyle w:val="ListParagraph"/>
        <w:numPr>
          <w:ilvl w:val="0"/>
          <w:numId w:val="2"/>
        </w:numPr>
        <w:spacing w:after="30" w:before="30"/>
      </w:pPr>
      <w:r>
        <w:rPr>
          <w:rFonts w:ascii="Arial" w:cs="Arial" w:eastAsia="Arial" w:hAnsi="Arial"/>
          <w:b/>
          <w:bCs/>
          <w:color w:val="000000"/>
          <w:sz w:val="20"/>
          <w:szCs w:val="20"/>
        </w:rPr>
        <w:t xml:space="preserve">Case 1 (MobileBank): </w:t>
      </w:r>
      <w:r>
        <w:rPr>
          <w:rFonts w:ascii="Arial" w:cs="Arial" w:eastAsia="Arial" w:hAnsi="Arial"/>
          <w:sz w:val="20"/>
          <w:szCs w:val="20"/>
        </w:rPr>
        <w:t xml:space="preserve">Client confirmed social scoring via personality inference was the intended prohibited scenario. Agreed with denial. Redesign roadmap to be presented to product leadership — redesigned system will require a full conformity assessment as a high-risk credit scoring tool.</w:t>
      </w:r>
    </w:p>
    <w:p>
      <w:pPr>
        <w:pStyle w:val="ListParagraph"/>
        <w:numPr>
          <w:ilvl w:val="0"/>
          <w:numId w:val="2"/>
        </w:numPr>
        <w:spacing w:after="30" w:before="30"/>
      </w:pPr>
      <w:r>
        <w:rPr>
          <w:rFonts w:ascii="Arial" w:cs="Arial" w:eastAsia="Arial" w:hAnsi="Arial"/>
          <w:b/>
          <w:bCs/>
          <w:color w:val="000000"/>
          <w:sz w:val="20"/>
          <w:szCs w:val="20"/>
        </w:rPr>
        <w:t xml:space="preserve">Case 2 (RetailFlow): </w:t>
      </w:r>
      <w:r>
        <w:rPr>
          <w:rFonts w:ascii="Arial" w:cs="Arial" w:eastAsia="Arial" w:hAnsi="Arial"/>
          <w:sz w:val="20"/>
          <w:szCs w:val="20"/>
        </w:rPr>
        <w:t xml:space="preserve">High-risk classification confirmed. Controls strengthened — formalising the manager override mechanism and establishing a documented worker appeal process are now pre-conditions for approval, not optional enhancements.</w:t>
      </w:r>
    </w:p>
    <w:p>
      <w:pPr>
        <w:pStyle w:val="ListParagraph"/>
        <w:numPr>
          <w:ilvl w:val="0"/>
          <w:numId w:val="2"/>
        </w:numPr>
        <w:spacing w:after="30" w:before="30"/>
      </w:pPr>
      <w:r>
        <w:rPr>
          <w:rFonts w:ascii="Arial" w:cs="Arial" w:eastAsia="Arial" w:hAnsi="Arial"/>
          <w:b/>
          <w:bCs/>
          <w:color w:val="000000"/>
          <w:sz w:val="20"/>
          <w:szCs w:val="20"/>
        </w:rPr>
        <w:t xml:space="preserve">Case 3 (EduAssess): </w:t>
      </w:r>
      <w:r>
        <w:rPr>
          <w:rFonts w:ascii="Arial" w:cs="Arial" w:eastAsia="Arial" w:hAnsi="Arial"/>
          <w:sz w:val="20"/>
          <w:szCs w:val="20"/>
        </w:rPr>
        <w:t xml:space="preserve">High-risk classification confirmed. Discussion clarified that the advisor outreach model is a meaningful mitigating factor but does not change the risk tier. FRIA scope to be agreed between university and EduAssess before deployment.</w:t>
      </w:r>
    </w:p>
    <w:p>
      <w:pPr>
        <w:pStyle w:val="ListParagraph"/>
        <w:numPr>
          <w:ilvl w:val="0"/>
          <w:numId w:val="2"/>
        </w:numPr>
        <w:spacing w:after="30" w:before="30"/>
      </w:pPr>
      <w:r>
        <w:rPr>
          <w:rFonts w:ascii="Arial" w:cs="Arial" w:eastAsia="Arial" w:hAnsi="Arial"/>
          <w:b/>
          <w:bCs/>
          <w:color w:val="000000"/>
          <w:sz w:val="20"/>
          <w:szCs w:val="20"/>
        </w:rPr>
        <w:t xml:space="preserve">Case 4 (WeatherForecast+): </w:t>
      </w:r>
      <w:r>
        <w:rPr>
          <w:rFonts w:ascii="Arial" w:cs="Arial" w:eastAsia="Arial" w:hAnsi="Arial"/>
          <w:sz w:val="20"/>
          <w:szCs w:val="20"/>
        </w:rPr>
        <w:t xml:space="preserve">Both parties agreed minimal risk. No AI Act controls required. GDPR flag noted for user location data if collected.</w:t>
      </w:r>
    </w:p>
    <w:p>
      <w:pPr>
        <w:spacing w:after="0" w:before="120"/>
      </w:pPr>
      <w:r>
        <w:rPr>
          <w:rFonts w:ascii="Arial" w:cs="Arial" w:eastAsia="Arial" w:hAnsi="Arial"/>
          <w:sz w:val="20"/>
          <w:szCs w:val="20"/>
        </w:rPr>
        <w:t xml:space="preserve"/>
      </w:r>
    </w:p>
    <w:p>
      <w:pPr>
        <w:spacing w:after="60" w:before="60"/>
      </w:pPr>
      <w:r>
        <w:rPr>
          <w:rFonts w:ascii="Arial" w:cs="Arial" w:eastAsia="Arial" w:hAnsi="Arial"/>
          <w:b/>
          <w:bCs/>
          <w:color w:val="375623"/>
          <w:sz w:val="20"/>
          <w:szCs w:val="20"/>
        </w:rPr>
        <w:t xml:space="preserve">Final decision: </w:t>
      </w:r>
      <w:r>
        <w:rPr>
          <w:rFonts w:ascii="Arial" w:cs="Arial" w:eastAsia="Arial" w:hAnsi="Arial"/>
          <w:sz w:val="20"/>
          <w:szCs w:val="20"/>
        </w:rPr>
        <w:t xml:space="preserve">Client accepts all recommendations. MobileBank redesign to commence; RetailFlow and EduAssess to initiate conformity and FRIA processes before deployment; WeatherForecast+ cleared to launch.</w:t>
      </w:r>
    </w:p>
    <w:p>
      <w:pPr>
        <w:spacing w:after="0" w:before="160"/>
      </w:pPr>
      <w:r>
        <w:rPr>
          <w:rFonts w:ascii="Arial" w:cs="Arial" w:eastAsia="Arial" w:hAnsi="Arial"/>
          <w:sz w:val="20"/>
          <w:szCs w:val="20"/>
        </w:rPr>
        <w:t xml:space="preserve"/>
      </w:r>
    </w:p>
    <w:p>
      <w:pPr>
        <w:spacing w:after="100" w:before="240"/>
      </w:pPr>
      <w:r>
        <w:rPr>
          <w:rFonts w:ascii="Arial" w:cs="Arial" w:eastAsia="Arial" w:hAnsi="Arial"/>
          <w:b/>
          <w:bCs/>
          <w:color w:val="1F3864"/>
          <w:sz w:val="28"/>
          <w:szCs w:val="28"/>
        </w:rPr>
        <w:t xml:space="preserve">6. Implementation Roadmap — High-Risk (RetailFlow)</w:t>
      </w:r>
    </w:p>
    <w:p>
      <w:pPr>
        <w:spacing w:after="60" w:before="60"/>
      </w:pPr>
      <w:r>
        <w:rPr>
          <w:rFonts w:ascii="Arial" w:cs="Arial" w:eastAsia="Arial" w:hAnsi="Arial"/>
          <w:b/>
          <w:bCs/>
          <w:color w:val="000000"/>
          <w:sz w:val="20"/>
          <w:szCs w:val="20"/>
        </w:rPr>
        <w:t xml:space="preserve">Provider (scheduling vendor) obligations before market placement:</w:t>
      </w:r>
    </w:p>
    <w:p>
      <w:pPr>
        <w:pStyle w:val="ListParagraph"/>
        <w:numPr>
          <w:ilvl w:val="0"/>
          <w:numId w:val="2"/>
        </w:numPr>
        <w:spacing w:after="30" w:before="30"/>
      </w:pPr>
      <w:r>
        <w:rPr>
          <w:rFonts w:ascii="Arial" w:cs="Arial" w:eastAsia="Arial" w:hAnsi="Arial"/>
          <w:sz w:val="20"/>
          <w:szCs w:val="20"/>
        </w:rPr>
        <w:t xml:space="preserve">Deliver technical documentation (Annex IV) and conformity assessment</w:t>
      </w:r>
    </w:p>
    <w:p>
      <w:pPr>
        <w:pStyle w:val="ListParagraph"/>
        <w:numPr>
          <w:ilvl w:val="0"/>
          <w:numId w:val="2"/>
        </w:numPr>
        <w:spacing w:after="30" w:before="30"/>
      </w:pPr>
      <w:r>
        <w:rPr>
          <w:rFonts w:ascii="Arial" w:cs="Arial" w:eastAsia="Arial" w:hAnsi="Arial"/>
          <w:sz w:val="20"/>
          <w:szCs w:val="20"/>
        </w:rPr>
        <w:t xml:space="preserve">Provide evidence of bias testing on personal circumstance inputs across protected groups</w:t>
      </w:r>
    </w:p>
    <w:p>
      <w:pPr>
        <w:pStyle w:val="ListParagraph"/>
        <w:numPr>
          <w:ilvl w:val="0"/>
          <w:numId w:val="2"/>
        </w:numPr>
        <w:spacing w:after="30" w:before="30"/>
      </w:pPr>
      <w:r>
        <w:rPr>
          <w:rFonts w:ascii="Arial" w:cs="Arial" w:eastAsia="Arial" w:hAnsi="Arial"/>
          <w:sz w:val="20"/>
          <w:szCs w:val="20"/>
        </w:rPr>
        <w:t xml:space="preserve">Supply logging mechanism for all AI-driven scheduling and bonus recommendations</w:t>
      </w:r>
    </w:p>
    <w:p>
      <w:pPr>
        <w:spacing w:after="0" w:before="80"/>
      </w:pPr>
      <w:r>
        <w:rPr>
          <w:rFonts w:ascii="Arial" w:cs="Arial" w:eastAsia="Arial" w:hAnsi="Arial"/>
          <w:sz w:val="20"/>
          <w:szCs w:val="20"/>
        </w:rPr>
        <w:t xml:space="preserve"/>
      </w:r>
    </w:p>
    <w:p>
      <w:pPr>
        <w:spacing w:after="60" w:before="60"/>
      </w:pPr>
      <w:r>
        <w:rPr>
          <w:rFonts w:ascii="Arial" w:cs="Arial" w:eastAsia="Arial" w:hAnsi="Arial"/>
          <w:b/>
          <w:bCs/>
          <w:color w:val="000000"/>
          <w:sz w:val="20"/>
          <w:szCs w:val="20"/>
        </w:rPr>
        <w:t xml:space="preserve">Deployer (RetailFlow) obligations before first use:</w:t>
      </w:r>
    </w:p>
    <w:p>
      <w:pPr>
        <w:pStyle w:val="ListParagraph"/>
        <w:numPr>
          <w:ilvl w:val="0"/>
          <w:numId w:val="2"/>
        </w:numPr>
        <w:spacing w:after="30" w:before="30"/>
      </w:pPr>
      <w:r>
        <w:rPr>
          <w:rFonts w:ascii="Arial" w:cs="Arial" w:eastAsia="Arial" w:hAnsi="Arial"/>
          <w:sz w:val="20"/>
          <w:szCs w:val="20"/>
        </w:rPr>
        <w:t xml:space="preserve">Conduct FRIA with emphasis on non-discrimination across gender, age, and family status</w:t>
      </w:r>
    </w:p>
    <w:p>
      <w:pPr>
        <w:pStyle w:val="ListParagraph"/>
        <w:numPr>
          <w:ilvl w:val="0"/>
          <w:numId w:val="2"/>
        </w:numPr>
        <w:spacing w:after="30" w:before="30"/>
      </w:pPr>
      <w:r>
        <w:rPr>
          <w:rFonts w:ascii="Arial" w:cs="Arial" w:eastAsia="Arial" w:hAnsi="Arial"/>
          <w:sz w:val="20"/>
          <w:szCs w:val="20"/>
        </w:rPr>
        <w:t xml:space="preserve">Establish formalised manager override process with training and quarterly review</w:t>
      </w:r>
    </w:p>
    <w:p>
      <w:pPr>
        <w:pStyle w:val="ListParagraph"/>
        <w:numPr>
          <w:ilvl w:val="0"/>
          <w:numId w:val="2"/>
        </w:numPr>
        <w:spacing w:after="30" w:before="30"/>
      </w:pPr>
      <w:r>
        <w:rPr>
          <w:rFonts w:ascii="Arial" w:cs="Arial" w:eastAsia="Arial" w:hAnsi="Arial"/>
          <w:sz w:val="20"/>
          <w:szCs w:val="20"/>
        </w:rPr>
        <w:t xml:space="preserve">Deploy worker transparency notices before system activation</w:t>
      </w:r>
    </w:p>
    <w:p>
      <w:pPr>
        <w:pStyle w:val="ListParagraph"/>
        <w:numPr>
          <w:ilvl w:val="0"/>
          <w:numId w:val="2"/>
        </w:numPr>
        <w:spacing w:after="30" w:before="30"/>
      </w:pPr>
      <w:r>
        <w:rPr>
          <w:rFonts w:ascii="Arial" w:cs="Arial" w:eastAsia="Arial" w:hAnsi="Arial"/>
          <w:sz w:val="20"/>
          <w:szCs w:val="20"/>
        </w:rPr>
        <w:t xml:space="preserve">Set up formal appeal process with documented timelines — accessible to all 2,500+ workers</w:t>
      </w:r>
    </w:p>
    <w:p>
      <w:pPr>
        <w:pStyle w:val="ListParagraph"/>
        <w:numPr>
          <w:ilvl w:val="0"/>
          <w:numId w:val="2"/>
        </w:numPr>
        <w:spacing w:after="30" w:before="30"/>
      </w:pPr>
      <w:r>
        <w:rPr>
          <w:rFonts w:ascii="Arial" w:cs="Arial" w:eastAsia="Arial" w:hAnsi="Arial"/>
          <w:sz w:val="20"/>
          <w:szCs w:val="20"/>
        </w:rPr>
        <w:t xml:space="preserve">Register the high-risk system in the EU AI database</w:t>
      </w:r>
    </w:p>
    <w:p>
      <w:pPr>
        <w:spacing w:after="0" w:before="80"/>
      </w:pPr>
      <w:r>
        <w:rPr>
          <w:rFonts w:ascii="Arial" w:cs="Arial" w:eastAsia="Arial" w:hAnsi="Arial"/>
          <w:sz w:val="20"/>
          <w:szCs w:val="20"/>
        </w:rPr>
        <w:t xml:space="preserve"/>
      </w:r>
    </w:p>
    <w:p>
      <w:pPr>
        <w:spacing w:after="60" w:before="60"/>
      </w:pPr>
      <w:r>
        <w:rPr>
          <w:rFonts w:ascii="Arial" w:cs="Arial" w:eastAsia="Arial" w:hAnsi="Arial"/>
          <w:b/>
          <w:bCs/>
          <w:color w:val="000000"/>
          <w:sz w:val="20"/>
          <w:szCs w:val="20"/>
        </w:rPr>
        <w:t xml:space="preserve">Evidence requested from vendor: </w:t>
      </w:r>
      <w:r>
        <w:rPr>
          <w:rFonts w:ascii="Arial" w:cs="Arial" w:eastAsia="Arial" w:hAnsi="Arial"/>
          <w:sz w:val="20"/>
          <w:szCs w:val="20"/>
        </w:rPr>
        <w:t xml:space="preserve">AI system conformity declaration, data governance report, bias testing methodology, and post-market monitoring plan.</w:t>
      </w:r>
    </w:p>
    <w:p>
      <w:pPr>
        <w:spacing w:after="60" w:before="60"/>
      </w:pPr>
      <w:r>
        <w:rPr>
          <w:rFonts w:ascii="Arial" w:cs="Arial" w:eastAsia="Arial" w:hAnsi="Arial"/>
          <w:b/>
          <w:bCs/>
          <w:color w:val="000000"/>
          <w:sz w:val="20"/>
          <w:szCs w:val="20"/>
        </w:rPr>
        <w:t xml:space="preserve">Next step: </w:t>
      </w:r>
      <w:r>
        <w:rPr>
          <w:rFonts w:ascii="Arial" w:cs="Arial" w:eastAsia="Arial" w:hAnsi="Arial"/>
          <w:sz w:val="20"/>
          <w:szCs w:val="20"/>
        </w:rPr>
        <w:t xml:space="preserve">Draft FRIA scope and vendor questionnaire within 10 working days.</w:t>
      </w:r>
    </w:p>
    <w:p>
      <w:r>
        <w:br w:type="page"/>
      </w:r>
    </w:p>
    <w:p>
      <w:pPr>
        <w:spacing w:after="100" w:before="240"/>
      </w:pPr>
      <w:r>
        <w:rPr>
          <w:rFonts w:ascii="Arial" w:cs="Arial" w:eastAsia="Arial" w:hAnsi="Arial"/>
          <w:b/>
          <w:bCs/>
          <w:color w:val="1F3864"/>
          <w:sz w:val="28"/>
          <w:szCs w:val="28"/>
        </w:rPr>
        <w:t xml:space="preserve">7. Legal Nuances &amp; Operational Artefacts</w:t>
      </w:r>
    </w:p>
    <w:p>
      <w:pPr>
        <w:spacing w:after="60" w:before="60"/>
      </w:pPr>
      <w:r>
        <w:rPr>
          <w:rFonts w:ascii="Arial" w:cs="Arial" w:eastAsia="Arial" w:hAnsi="Arial"/>
          <w:b/>
          <w:bCs/>
          <w:color w:val="000000"/>
          <w:sz w:val="20"/>
          <w:szCs w:val="20"/>
        </w:rPr>
        <w:t xml:space="preserve">MobileBank borderline: </w:t>
      </w:r>
      <w:r>
        <w:rPr>
          <w:rFonts w:ascii="Arial" w:cs="Arial" w:eastAsia="Arial" w:hAnsi="Arial"/>
          <w:sz w:val="20"/>
          <w:szCs w:val="20"/>
        </w:rPr>
        <w:t xml:space="preserve">The justification using 'biometric categorisation' is technically imprecise — personality inference from social posts is not biometric data. The stronger and more accurate hook is Article 5(1)(c): social scoring by private entities. Even if transparency were added to the current design, using inferred hesitation patterns for creditworthiness would still risk classification as manipulative under Art. 5(1)(a). Full redesign is necessary.</w:t>
      </w:r>
    </w:p>
    <w:p>
      <w:pPr>
        <w:spacing w:after="60" w:before="60"/>
      </w:pPr>
      <w:r>
        <w:rPr>
          <w:rFonts w:ascii="Arial" w:cs="Arial" w:eastAsia="Arial" w:hAnsi="Arial"/>
          <w:b/>
          <w:bCs/>
          <w:color w:val="000000"/>
          <w:sz w:val="20"/>
          <w:szCs w:val="20"/>
        </w:rPr>
        <w:t xml:space="preserve">RetailFlow proxy risk: </w:t>
      </w:r>
      <w:r>
        <w:rPr>
          <w:rFonts w:ascii="Arial" w:cs="Arial" w:eastAsia="Arial" w:hAnsi="Arial"/>
          <w:sz w:val="20"/>
          <w:szCs w:val="20"/>
        </w:rPr>
        <w:t xml:space="preserve">Family size and commute distance are not protected characteristics under EU law but can act as proxies for gender, ethnicity, or disability. The data governance audit must specifically test whether these inputs produce disparate outcomes across protected groups before any model goes live.</w:t>
      </w:r>
    </w:p>
    <w:p>
      <w:pPr>
        <w:spacing w:after="60" w:before="60"/>
      </w:pPr>
      <w:r>
        <w:rPr>
          <w:rFonts w:ascii="Arial" w:cs="Arial" w:eastAsia="Arial" w:hAnsi="Arial"/>
          <w:b/>
          <w:bCs/>
          <w:color w:val="000000"/>
          <w:sz w:val="20"/>
          <w:szCs w:val="20"/>
        </w:rPr>
        <w:t xml:space="preserve">EduAssess false negative threat: </w:t>
      </w:r>
      <w:r>
        <w:rPr>
          <w:rFonts w:ascii="Arial" w:cs="Arial" w:eastAsia="Arial" w:hAnsi="Arial"/>
          <w:sz w:val="20"/>
          <w:szCs w:val="20"/>
        </w:rPr>
        <w:t xml:space="preserve">The most significant risk is not over-flagging (false positives) but under-flagging — students who are genuinely at risk but do not match the model's patterns receive no outreach. Post-market monitoring must track false negative rates by demographic group, not just overall accuracy.</w:t>
      </w:r>
    </w:p>
    <w:p>
      <w:pPr>
        <w:spacing w:after="60" w:before="60"/>
      </w:pPr>
      <w:r>
        <w:rPr>
          <w:rFonts w:ascii="Arial" w:cs="Arial" w:eastAsia="Arial" w:hAnsi="Arial"/>
          <w:b/>
          <w:bCs/>
          <w:color w:val="000000"/>
          <w:sz w:val="20"/>
          <w:szCs w:val="20"/>
        </w:rPr>
        <w:t xml:space="preserve">WeatherForecast+ future risk: </w:t>
      </w:r>
      <w:r>
        <w:rPr>
          <w:rFonts w:ascii="Arial" w:cs="Arial" w:eastAsia="Arial" w:hAnsi="Arial"/>
          <w:sz w:val="20"/>
          <w:szCs w:val="20"/>
        </w:rPr>
        <w:t xml:space="preserve">If the service integrates with automated irrigation systems (e.g., smart farm machinery that acts on the forecast without human review), the system could move into a safety-critical context requiring reassessment under Annex I or Annex III.</w:t>
      </w:r>
    </w:p>
    <w:p>
      <w:pPr>
        <w:spacing w:after="0" w:before="80"/>
      </w:pPr>
      <w:r>
        <w:rPr>
          <w:rFonts w:ascii="Arial" w:cs="Arial" w:eastAsia="Arial" w:hAnsi="Arial"/>
          <w:sz w:val="20"/>
          <w:szCs w:val="20"/>
        </w:rPr>
        <w:t xml:space="preserve"/>
      </w:r>
    </w:p>
    <w:p>
      <w:pPr>
        <w:spacing w:after="60" w:before="60"/>
      </w:pPr>
      <w:r>
        <w:rPr>
          <w:rFonts w:ascii="Arial" w:cs="Arial" w:eastAsia="Arial" w:hAnsi="Arial"/>
          <w:b/>
          <w:bCs/>
          <w:color w:val="000000"/>
          <w:sz w:val="20"/>
          <w:szCs w:val="20"/>
        </w:rPr>
        <w:t xml:space="preserve">Operational artefacts needed next:</w:t>
      </w:r>
    </w:p>
    <w:p>
      <w:pPr>
        <w:pStyle w:val="ListParagraph"/>
        <w:numPr>
          <w:ilvl w:val="0"/>
          <w:numId w:val="2"/>
        </w:numPr>
        <w:spacing w:after="30" w:before="30"/>
      </w:pPr>
      <w:r>
        <w:rPr>
          <w:rFonts w:ascii="Arial" w:cs="Arial" w:eastAsia="Arial" w:hAnsi="Arial"/>
          <w:sz w:val="20"/>
          <w:szCs w:val="20"/>
        </w:rPr>
        <w:t xml:space="preserve">Redesign brief for MobileBank product team</w:t>
      </w:r>
    </w:p>
    <w:p>
      <w:pPr>
        <w:pStyle w:val="ListParagraph"/>
        <w:numPr>
          <w:ilvl w:val="0"/>
          <w:numId w:val="2"/>
        </w:numPr>
        <w:spacing w:after="30" w:before="30"/>
      </w:pPr>
      <w:r>
        <w:rPr>
          <w:rFonts w:ascii="Arial" w:cs="Arial" w:eastAsia="Arial" w:hAnsi="Arial"/>
          <w:sz w:val="20"/>
          <w:szCs w:val="20"/>
        </w:rPr>
        <w:t xml:space="preserve">FRIA scoping memo for RetailFlow and EduAssess</w:t>
      </w:r>
    </w:p>
    <w:p>
      <w:pPr>
        <w:pStyle w:val="ListParagraph"/>
        <w:numPr>
          <w:ilvl w:val="0"/>
          <w:numId w:val="2"/>
        </w:numPr>
        <w:spacing w:after="30" w:before="30"/>
      </w:pPr>
      <w:r>
        <w:rPr>
          <w:rFonts w:ascii="Arial" w:cs="Arial" w:eastAsia="Arial" w:hAnsi="Arial"/>
          <w:sz w:val="20"/>
          <w:szCs w:val="20"/>
        </w:rPr>
        <w:t xml:space="preserve">Worker transparency notice template for RetailFlow</w:t>
      </w:r>
    </w:p>
    <w:p>
      <w:pPr>
        <w:pStyle w:val="ListParagraph"/>
        <w:numPr>
          <w:ilvl w:val="0"/>
          <w:numId w:val="2"/>
        </w:numPr>
        <w:spacing w:after="30" w:before="30"/>
      </w:pPr>
      <w:r>
        <w:rPr>
          <w:rFonts w:ascii="Arial" w:cs="Arial" w:eastAsia="Arial" w:hAnsi="Arial"/>
          <w:sz w:val="20"/>
          <w:szCs w:val="20"/>
        </w:rPr>
        <w:t xml:space="preserve">Vendor questionnaire and conformity checklist for both high-risk deployments</w:t>
      </w:r>
    </w:p>
    <w:p>
      <w:pPr>
        <w:pStyle w:val="ListParagraph"/>
        <w:numPr>
          <w:ilvl w:val="0"/>
          <w:numId w:val="2"/>
        </w:numPr>
        <w:spacing w:after="30" w:before="30"/>
      </w:pPr>
      <w:r>
        <w:rPr>
          <w:rFonts w:ascii="Arial" w:cs="Arial" w:eastAsia="Arial" w:hAnsi="Arial"/>
          <w:sz w:val="20"/>
          <w:szCs w:val="20"/>
        </w:rPr>
        <w:t xml:space="preserve">Advisor training materials for EduAssess university deployment</w:t>
      </w:r>
    </w:p>
    <w:p>
      <w:r>
        <w:br w:type="page"/>
      </w:r>
    </w:p>
    <w:p>
      <w:pPr>
        <w:spacing w:after="100" w:before="240"/>
      </w:pPr>
      <w:r>
        <w:rPr>
          <w:rFonts w:ascii="Arial" w:cs="Arial" w:eastAsia="Arial" w:hAnsi="Arial"/>
          <w:b/>
          <w:bCs/>
          <w:color w:val="1F3864"/>
          <w:sz w:val="28"/>
          <w:szCs w:val="28"/>
        </w:rPr>
        <w:t xml:space="preserve">8. Consultant Closing Note — Post-Debrief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60"/>
              <w:left w:type="dxa" w:w="220"/>
              <w:bottom w:type="dxa" w:w="160"/>
              <w:right w:type="dxa" w:w="220"/>
            </w:tcMar>
          </w:tcPr>
          <w:p>
            <w:pPr>
              <w:spacing w:after="100" w:before="0"/>
            </w:pPr>
            <w:r>
              <w:rPr>
                <w:rFonts w:ascii="Arial" w:cs="Arial" w:eastAsia="Arial" w:hAnsi="Arial"/>
                <w:b/>
                <w:bCs/>
                <w:color w:val="C00000"/>
                <w:sz w:val="20"/>
                <w:szCs w:val="20"/>
              </w:rPr>
              <w:t xml:space="preserve">After going through all four cases with Mona, one classification changed and two arguments got sharper. Overall the pack holds up well.</w:t>
            </w:r>
          </w:p>
          <w:p>
            <w:pPr>
              <w:spacing w:after="80" w:before="0"/>
            </w:pPr>
            <w:r>
              <w:rPr>
                <w:rFonts w:ascii="Arial" w:cs="Arial" w:eastAsia="Arial" w:hAnsi="Arial"/>
                <w:b/>
                <w:bCs/>
                <w:color w:val="000000"/>
                <w:sz w:val="20"/>
                <w:szCs w:val="20"/>
              </w:rPr>
              <w:t xml:space="preserve">Classification changes: </w:t>
            </w:r>
            <w:r>
              <w:rPr>
                <w:rFonts w:ascii="Arial" w:cs="Arial" w:eastAsia="Arial" w:hAnsi="Arial"/>
                <w:sz w:val="20"/>
                <w:szCs w:val="20"/>
              </w:rPr>
              <w:t xml:space="preserve">Case 3 (EduAssess) was the one I got wrong. I called it high-risk but my first instinct was actually limited risk, and after the debrief I think that was right. The reason is that advisors review every score before reaching out to any student — no student gets contacted, excluded, or affected without a human making that call first. That level of human involvement keeps it out of the high-risk bucket. It still needs some controls, mainly making sure students know AI is being used and that advisors understand the tool’s limits, but it doesn’t require the full compliance process that high-risk systems do. The other three cases stayed the same: MobileBank is prohibited, RetailFlow is high-risk, WeatherForecast+ is minimal risk.</w:t>
            </w:r>
          </w:p>
          <w:p>
            <w:pPr>
              <w:spacing w:after="80" w:before="0"/>
            </w:pPr>
            <w:r>
              <w:rPr>
                <w:rFonts w:ascii="Arial" w:cs="Arial" w:eastAsia="Arial" w:hAnsi="Arial"/>
                <w:b/>
                <w:bCs/>
                <w:color w:val="000000"/>
                <w:sz w:val="20"/>
                <w:szCs w:val="20"/>
              </w:rPr>
              <w:t xml:space="preserve">Arguments strengthened or revised: </w:t>
            </w:r>
            <w:r>
              <w:rPr>
                <w:rFonts w:ascii="Arial" w:cs="Arial" w:eastAsia="Arial" w:hAnsi="Arial"/>
                <w:sz w:val="20"/>
                <w:szCs w:val="20"/>
              </w:rPr>
              <w:t xml:space="preserve">Two things got clearer after the conversation. For MobileBank (Case 1), Mona’s original intent was high-risk, not prohibited. But looking at the actual proposal — personality guessed from social media, 95% automated with no appeal — it really does cross the line into something the law simply doesn’t allow. The good news is there’s a clear path forward: swap out the dodgy data sources for things like rent payments and bank history, add proper human review, and the system becomes legal. For RetailFlow (Case 2), the debrief made it clear that having an override button that nobody uses is basically the same as not having one. Before this goes live, managers need to actually be trained to use it and the company needs a real process for workers to push back on decisions that affect them.</w:t>
            </w:r>
          </w:p>
          <w:p>
            <w:pPr>
              <w:spacing w:after="0" w:before="0"/>
            </w:pPr>
            <w:r>
              <w:rPr>
                <w:rFonts w:ascii="Arial" w:cs="Arial" w:eastAsia="Arial" w:hAnsi="Arial"/>
                <w:b/>
                <w:bCs/>
                <w:color w:val="000000"/>
                <w:sz w:val="20"/>
                <w:szCs w:val="20"/>
              </w:rPr>
              <w:t xml:space="preserve">Key takeaway: </w:t>
            </w:r>
            <w:r>
              <w:rPr>
                <w:rFonts w:ascii="Arial" w:cs="Arial" w:eastAsia="Arial" w:hAnsi="Arial"/>
                <w:sz w:val="20"/>
                <w:szCs w:val="20"/>
              </w:rPr>
              <w:t xml:space="preserve">The biggest thing this exercise confirmed is that the law doesn’t care why you built something — it cares about what it does to people. EduAssess is fine because a human stays in charge of every decision. MobileBank is not fine because no matter how good the intention, guessing personality from social media to deny someone a loan is something the EU AI Act simply prohibits. Controls can fix a lot of things, but they can’t fix the wrong foundation.</w:t>
            </w:r>
          </w:p>
        </w:tc>
      </w:tr>
    </w:tbl>
    <w:p>
      <w:pPr>
        <w:spacing w:after="0" w:before="160"/>
      </w:pPr>
      <w:r>
        <w:rPr>
          <w:rFonts w:ascii="Arial" w:cs="Arial" w:eastAsia="Arial" w:hAnsi="Arial"/>
          <w:sz w:val="20"/>
          <w:szCs w:val="20"/>
        </w:rPr>
        <w:t xml:space="preserve"/>
      </w:r>
    </w:p>
    <w:p>
      <w:pPr>
        <w:pBdr>
          <w:bottom w:val="single" w:color="CCCCCC" w:sz="4" w:space="1"/>
        </w:pBdr>
        <w:spacing w:after="120" w:before="120"/>
      </w:pPr>
    </w:p>
    <w:p>
      <w:pPr>
        <w:spacing w:after="40" w:before="80"/>
        <w:jc w:val="center"/>
      </w:pPr>
      <w:r>
        <w:rPr>
          <w:rFonts w:ascii="Arial" w:cs="Arial" w:eastAsia="Arial" w:hAnsi="Arial"/>
          <w:i/>
          <w:iCs/>
          <w:color w:val="888888"/>
          <w:sz w:val="16"/>
          <w:szCs w:val="16"/>
        </w:rPr>
        <w:t xml:space="preserve">EU AI Act Compliance Consulting — This document represents professional advisory based on the facts provided. Final legal validation recommended before deployment.</w:t>
      </w:r>
    </w:p>
    <w:p>
      <w:pPr>
        <w:spacing w:after="0" w:before="0"/>
        <w:jc w:val="center"/>
      </w:pPr>
      <w:r>
        <w:rPr>
          <w:rFonts w:ascii="Arial" w:cs="Arial" w:eastAsia="Arial" w:hAnsi="Arial"/>
          <w:i/>
          <w:iCs/>
          <w:color w:val="888888"/>
          <w:sz w:val="16"/>
          <w:szCs w:val="16"/>
        </w:rPr>
        <w:t xml:space="preserve">Approval Pack v1.0  |  Prepared by Pedro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2026-03-24T16:58:01.192Z</dcterms:created>
  <dcterms:modified xsi:type="dcterms:W3CDTF">2026-03-24T16:58:01.193Z</dcterms:modified>
</cp:coreProperties>
</file>

<file path=docProps/custom.xml><?xml version="1.0" encoding="utf-8"?>
<Properties xmlns="http://schemas.openxmlformats.org/officeDocument/2006/custom-properties" xmlns:vt="http://schemas.openxmlformats.org/officeDocument/2006/docPropsVTypes"/>
</file>