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7D7282" wp14:paraId="658755C5" wp14:textId="2122DC6C">
      <w:pPr>
        <w:pStyle w:val="Heading2"/>
        <w:spacing w:before="0" w:beforeAutospacing="off" w:after="299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Memo: GDPR &amp; AI Act Compliance Advisory</w:t>
      </w:r>
    </w:p>
    <w:p xmlns:wp14="http://schemas.microsoft.com/office/word/2010/wordml" w:rsidP="777D7282" wp14:paraId="309FF3E9" wp14:textId="3BAA546B">
      <w:pPr>
        <w:spacing w:before="0" w:beforeAutospacing="off" w:after="240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Legal &amp; Product Leadership, CloudSaaS Inc.</w:t>
      </w:r>
    </w:p>
    <w:p xmlns:wp14="http://schemas.microsoft.com/office/word/2010/wordml" w:rsidP="777D7282" wp14:paraId="04ABECF0" wp14:textId="5C775F06">
      <w:pPr>
        <w:spacing w:before="0" w:beforeAutospacing="off" w:after="240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From: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Pedro Biain, GDPR Compliance Consultant</w:t>
      </w:r>
    </w:p>
    <w:p xmlns:wp14="http://schemas.microsoft.com/office/word/2010/wordml" w:rsidP="777D7282" wp14:paraId="019D7BFC" wp14:textId="09D42926">
      <w:pPr>
        <w:spacing w:before="0" w:beforeAutospacing="off" w:after="240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March 25, 2026</w:t>
      </w:r>
    </w:p>
    <w:p xmlns:wp14="http://schemas.microsoft.com/office/word/2010/wordml" w:rsidP="777D7282" wp14:paraId="08A84EFF" wp14:textId="58B3F9AF">
      <w:pPr>
        <w:spacing w:before="0" w:beforeAutospacing="off" w:after="240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LLM Fine-Tuning on EU Support Chat Logs – Final Compliance Roadmap</w:t>
      </w:r>
    </w:p>
    <w:p xmlns:wp14="http://schemas.microsoft.com/office/word/2010/wordml" wp14:paraId="1F02DA17" wp14:textId="51BC3579"/>
    <w:p xmlns:wp14="http://schemas.microsoft.com/office/word/2010/wordml" w:rsidP="777D7282" wp14:paraId="065FEC1D" wp14:textId="5DF0E791">
      <w:pPr>
        <w:pStyle w:val="Heading3"/>
        <w:spacing w:before="0" w:beforeAutospacing="off" w:after="281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BOTTOM LINE: GO WITH CONDITIONS</w:t>
      </w:r>
    </w:p>
    <w:p xmlns:wp14="http://schemas.microsoft.com/office/word/2010/wordml" w:rsidP="777D7282" wp14:paraId="1F187D8B" wp14:textId="2621B616">
      <w:pPr>
        <w:spacing w:before="0" w:beforeAutospacing="off" w:after="240" w:afterAutospacing="off"/>
      </w:pP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>The LLM fine-tuning project may proceed provided that legal safeguards (DPA/SCCs) are executed, a formal DPIA is documented, and a robust technical redaction pipeline is verified to handle special category data.</w:t>
      </w:r>
    </w:p>
    <w:p xmlns:wp14="http://schemas.microsoft.com/office/word/2010/wordml" wp14:paraId="38D2E96C" wp14:textId="22BE9753"/>
    <w:p xmlns:wp14="http://schemas.microsoft.com/office/word/2010/wordml" w:rsidP="777D7282" wp14:paraId="05A152B4" wp14:textId="3D25622E">
      <w:pPr>
        <w:pStyle w:val="Heading3"/>
        <w:spacing w:before="0" w:beforeAutospacing="off" w:after="281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Top Three Required Actions (Sequenced)</w:t>
      </w:r>
    </w:p>
    <w:p xmlns:wp14="http://schemas.microsoft.com/office/word/2010/wordml" w:rsidP="777D7282" wp14:paraId="300286AA" wp14:textId="0860BC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Legal Foundation (Immediate):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a </w:t>
      </w: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Processing Agreement (DPA)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OpenAI. This must include the </w:t>
      </w: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2021 Standard Contractual Clauses (SCCs)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</w:t>
      </w: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Transfer Impact Assessment (TIA)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justify data flows to the US. Ensure the contract explicitly prohibits the vendor from using CloudSaaS customer data to train their own base models.</w:t>
      </w:r>
    </w:p>
    <w:p xmlns:wp14="http://schemas.microsoft.com/office/word/2010/wordml" w:rsidP="777D7282" wp14:paraId="003A0B88" wp14:textId="7CD029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Risk Validation (Pre-Processing):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 a </w:t>
      </w: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Protection Impact Assessment (DPIA)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>. Given the large-scale processing of chat logs and the risk of "inferable" Article 9 data (e.g., customers mentioning health issues in chats), a DPIA is a non-negotiable legal requirement under Article 35.</w:t>
      </w:r>
    </w:p>
    <w:p xmlns:wp14="http://schemas.microsoft.com/office/word/2010/wordml" w:rsidP="777D7282" wp14:paraId="32A056E5" wp14:textId="730308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Technical Enforcement &amp; Transparency (Deployment):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Deploy an automated </w:t>
      </w: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PII/Sensitive Data Redaction pipeline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scrub names and sensitive identifiers before training. Simultaneously, update the </w:t>
      </w: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Privacy Notice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disclose "Profiling" (per Art. 13/14) and provide a clear mechanism for customers to object to their data being used for AI training.</w:t>
      </w:r>
    </w:p>
    <w:p xmlns:wp14="http://schemas.microsoft.com/office/word/2010/wordml" wp14:paraId="3D0399F9" wp14:textId="24CF3D37"/>
    <w:p xmlns:wp14="http://schemas.microsoft.com/office/word/2010/wordml" w:rsidP="777D7282" wp14:paraId="2B15C6DC" wp14:textId="6F6DD95D">
      <w:pPr>
        <w:pStyle w:val="Heading3"/>
        <w:spacing w:before="0" w:beforeAutospacing="off" w:after="281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Residual Risks</w:t>
      </w:r>
    </w:p>
    <w:p xmlns:wp14="http://schemas.microsoft.com/office/word/2010/wordml" w:rsidP="777D7282" wp14:paraId="57446DAA" wp14:textId="2A27F4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Memorization: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Even with redaction, LLMs can occasionally "leak" or memorize fragments of personal data. This risk is inherent to the technology and cannot be zeroed out; regular security "red-teaming" is advised.</w:t>
      </w:r>
    </w:p>
    <w:p xmlns:wp14="http://schemas.microsoft.com/office/word/2010/wordml" w:rsidP="777D7282" wp14:paraId="6299D398" wp14:textId="5917C85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Regulatory Shift: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European Data Protection Authorities are currently scrutinizing "Legitimate Interest" as a basis for AI training. If the European Data Protection Board (EDPB) issues stricter guidance, we may be forced to pivot to a "Consent" model, which is operationally difficult to retroactively apply.</w:t>
      </w:r>
    </w:p>
    <w:p xmlns:wp14="http://schemas.microsoft.com/office/word/2010/wordml" w:rsidP="777D7282" wp14:paraId="202AD9B4" wp14:textId="1C96AA6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"Right to be Forgotten" Complexity: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Deleting a specific individual's data from a weight-distributed model is technically challenging. We must develop a workflow for "selective retraining" or maintain detailed training data maps to address future deletion requests.</w:t>
      </w:r>
    </w:p>
    <w:p xmlns:wp14="http://schemas.microsoft.com/office/word/2010/wordml" wp14:paraId="155FE288" wp14:textId="0CFACD19"/>
    <w:p xmlns:wp14="http://schemas.microsoft.com/office/word/2010/wordml" w:rsidP="777D7282" wp14:paraId="2FA630B1" wp14:textId="2EA6324D">
      <w:pPr>
        <w:pStyle w:val="Heading3"/>
        <w:spacing w:before="0" w:beforeAutospacing="off" w:after="281" w:afterAutospacing="off"/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AI Act &amp; ePrivacy Stacking</w:t>
      </w:r>
    </w:p>
    <w:p xmlns:wp14="http://schemas.microsoft.com/office/word/2010/wordml" w:rsidP="777D7282" wp14:paraId="33649207" wp14:textId="741CC71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Act: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system is classified as </w:t>
      </w: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Limited Risk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(Article 50), requiring clear disclosure to users that they are interacting with AI-generated content.</w:t>
      </w:r>
    </w:p>
    <w:p xmlns:wp14="http://schemas.microsoft.com/office/word/2010/wordml" w:rsidP="777D7282" wp14:paraId="2B62CABB" wp14:textId="3D5EDC8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7D7282" w:rsidR="08FDAC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ePrivacy:</w:t>
      </w:r>
      <w:r w:rsidRPr="777D7282" w:rsidR="08FDAC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new consent is needed for the fine-tuning itself, provided the original chat data was collected via compliant cookie banners.</w:t>
      </w:r>
    </w:p>
    <w:p xmlns:wp14="http://schemas.microsoft.com/office/word/2010/wordml" wp14:paraId="2C078E63" wp14:textId="159F587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5fea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d5e23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72e6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5BE8B2"/>
    <w:rsid w:val="08FDAC57"/>
    <w:rsid w:val="545BE8B2"/>
    <w:rsid w:val="777D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E8B2"/>
  <w15:chartTrackingRefBased/>
  <w15:docId w15:val="{85ED31CB-FB27-4FD0-A08A-6DD8A2FCEE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77D728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77D728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77D72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e3d46959234f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2026-03-25T14:26:41.2492200Z</dcterms:created>
  <dcterms:modified xsi:type="dcterms:W3CDTF">2026-03-25T14:27:21.8344587Z</dcterms:modified>
  <dc:creator>Pedro Biain</dc:creator>
  <lastModifiedBy>Pedro Biain</lastModifiedBy>
</coreProperties>
</file>