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1F4E79"/>
          <w:sz w:val="64"/>
          <w:szCs w:val="64"/>
        </w:rPr>
        <w:t xml:space="preserve">RESTRUCTURING IMPACT ANALYSIS</w:t>
      </w:r>
    </w:p>
    <w:p>
      <w:pPr>
        <w:spacing w:before="0" w:after="60"/>
        <w:jc w:val="center"/>
      </w:pPr>
      <w:r>
        <w:rPr>
          <w:rFonts w:ascii="Arial" w:cs="Arial" w:eastAsia="Arial" w:hAnsi="Arial"/>
          <w:b/>
          <w:bCs/>
          <w:color w:val="2E75B6"/>
          <w:sz w:val="40"/>
          <w:szCs w:val="40"/>
        </w:rPr>
        <w:t xml:space="preserve">Smart Resource Scheduler</w:t>
      </w:r>
    </w:p>
    <w:p>
      <w:pPr>
        <w:spacing w:before="60" w:after="0"/>
      </w:pPr>
      <w:r>
        <w:t xml:space="preserve"/>
      </w:r>
    </w:p>
    <w:p>
      <w:pPr>
        <w:jc w:val="center"/>
      </w:pPr>
      <w:r>
        <w:rPr>
          <w:rFonts w:ascii="Arial" w:cs="Arial" w:eastAsia="Arial" w:hAnsi="Arial"/>
          <w:i/>
          <w:iCs/>
          <w:color w:val="555555"/>
          <w:sz w:val="24"/>
          <w:szCs w:val="24"/>
        </w:rPr>
        <w:t xml:space="preserve">SilverTrust × Hammer Consulting Acquisition — Day 2 Analysis</w:t>
      </w:r>
    </w:p>
    <w:p>
      <w:pPr>
        <w:spacing w:before="60" w:after="0"/>
      </w:pPr>
      <w:r>
        <w:t xml:space="preserve"/>
      </w:r>
    </w:p>
    <w:p>
      <w:pPr>
        <w:jc w:val="center"/>
      </w:pPr>
      <w:r>
        <w:rPr>
          <w:rFonts w:ascii="Arial" w:cs="Arial" w:eastAsia="Arial" w:hAnsi="Arial"/>
          <w:color w:val="888888"/>
          <w:sz w:val="22"/>
          <w:szCs w:val="22"/>
        </w:rPr>
        <w:t xml:space="preserve">Author: Pedro  |  IronHack AI Bootcamp — Week 6</w:t>
      </w:r>
    </w:p>
    <w:p>
      <w:pPr>
        <w:spacing w:before="400" w:after="0"/>
      </w:pPr>
      <w:r>
        <w:t xml:space="preserve"/>
      </w:r>
    </w:p>
    <w:p>
      <w:pPr>
        <w:pBdr>
          <w:bottom w:val="single" w:color="2E75B6" w:sz="6" w:space="1"/>
        </w:pBdr>
        <w:spacing w:before="100" w:after="100"/>
      </w:pPr>
      <w:r>
        <w:t xml:space="preserve"/>
      </w:r>
    </w:p>
    <w:p>
      <w:pPr>
        <w:spacing w:before="200" w:after="0"/>
      </w:pPr>
      <w:r>
        <w:t xml:space="preserve"/>
      </w:r>
    </w:p>
    <w:p>
      <w:pPr>
        <w:spacing w:before="60" w:after="60"/>
      </w:pPr>
      <w:r>
        <w:rPr>
          <w:rFonts w:ascii="Arial" w:cs="Arial" w:eastAsia="Arial" w:hAnsi="Arial"/>
          <w:sz w:val="22"/>
          <w:szCs w:val="22"/>
        </w:rPr>
        <w:t xml:space="preserve">This document analyzes the impact of the Hammer Consulting acquisition on the Smart Resource Scheduler system built on Day 1 for SilverTrust. It covers the current state of the system before the acquisition, what breaks as a result of it, how each stakeholder is affected, and the risks and mitigations required to move forward.</w:t>
      </w:r>
    </w:p>
    <w:p>
      <w:pPr>
        <w:spacing w:before="200" w:after="0"/>
      </w:pPr>
      <w:r>
        <w:t xml:space="preserve"/>
      </w:r>
    </w:p>
    <w:p>
      <w:pPr>
        <w:spacing w:before="360" w:after="120"/>
      </w:pPr>
      <w:r>
        <w:rPr>
          <w:rFonts w:ascii="Arial" w:cs="Arial" w:eastAsia="Arial" w:hAnsi="Arial"/>
          <w:b/>
          <w:bCs/>
          <w:color w:val="1F4E79"/>
          <w:sz w:val="36"/>
          <w:szCs w:val="36"/>
        </w:rPr>
        <w:t xml:space="preserve">Part 1: Current State Inventory</w:t>
      </w:r>
    </w:p>
    <w:p>
      <w:pPr>
        <w:spacing w:before="60" w:after="60"/>
      </w:pPr>
      <w:r>
        <w:rPr>
          <w:rFonts w:ascii="Arial" w:cs="Arial" w:eastAsia="Arial" w:hAnsi="Arial"/>
          <w:sz w:val="22"/>
          <w:szCs w:val="22"/>
        </w:rPr>
        <w:t xml:space="preserve">This section documents the Day 1 system baseline before the acquisition. It establishes what was built, what it assumed, and how the components were connected.</w:t>
      </w:r>
    </w:p>
    <w:p>
      <w:pPr>
        <w:spacing w:before="100" w:after="0"/>
      </w:pPr>
      <w:r>
        <w:t xml:space="preserve"/>
      </w:r>
    </w:p>
    <w:p>
      <w:pPr>
        <w:spacing w:before="280" w:after="100"/>
      </w:pPr>
      <w:r>
        <w:rPr>
          <w:rFonts w:ascii="Arial" w:cs="Arial" w:eastAsia="Arial" w:hAnsi="Arial"/>
          <w:b/>
          <w:bCs/>
          <w:color w:val="2E75B6"/>
          <w:sz w:val="26"/>
          <w:szCs w:val="26"/>
        </w:rPr>
        <w:t xml:space="preserve">1.1 Jira Project Structure</w:t>
      </w:r>
    </w:p>
    <w:p>
      <w:pPr>
        <w:spacing w:before="60" w:after="60"/>
      </w:pPr>
      <w:r>
        <w:rPr>
          <w:rFonts w:ascii="Arial" w:cs="Arial" w:eastAsia="Arial" w:hAnsi="Arial"/>
          <w:sz w:val="22"/>
          <w:szCs w:val="22"/>
        </w:rPr>
        <w:t xml:space="preserve">Project: Smart Resource Scheduler (SRS). The system was designed to solve SilverTrust's core operational problem: gut-feeling resource allocation decisions across 30 consultants and 15-20 active projects simultaneously.</w:t>
      </w:r>
    </w:p>
    <w:p>
      <w:pPr>
        <w:spacing w:before="80" w:after="0"/>
      </w:pPr>
      <w:r>
        <w:t xml:space="preserve"/>
      </w:r>
    </w:p>
    <w:p>
      <w:pPr>
        <w:spacing w:before="200" w:after="80"/>
      </w:pPr>
      <w:r>
        <w:rPr>
          <w:rFonts w:ascii="Arial" w:cs="Arial" w:eastAsia="Arial" w:hAnsi="Arial"/>
          <w:b/>
          <w:bCs/>
          <w:color w:val="1F4E79"/>
          <w:sz w:val="22"/>
          <w:szCs w:val="22"/>
        </w:rPr>
        <w:t xml:space="preserve">Epic 1 — Capacity Forecasting &amp; Visibility (SRS-1)</w:t>
      </w:r>
    </w:p>
    <w:p>
      <w:pPr>
        <w:pStyle w:val="ListParagraph"/>
        <w:numPr>
          <w:ilvl w:val="0"/>
          <w:numId w:val="2"/>
        </w:numPr>
        <w:spacing w:before="40" w:after="40"/>
      </w:pPr>
      <w:r>
        <w:rPr>
          <w:rFonts w:ascii="Arial" w:cs="Arial" w:eastAsia="Arial" w:hAnsi="Arial"/>
          <w:sz w:val="22"/>
          <w:szCs w:val="22"/>
        </w:rPr>
        <w:t xml:space="preserve">SRS-4 — As Robert, I want real-time capacity data so I can answer 'can we take this project?' in under 30 minutes. The system provides a live dashboard showing all 30 consultants' availability, utilization status, and projected capacity without manual spreadsheet lookup.</w:t>
      </w:r>
    </w:p>
    <w:p>
      <w:pPr>
        <w:pStyle w:val="ListParagraph"/>
        <w:numPr>
          <w:ilvl w:val="0"/>
          <w:numId w:val="2"/>
        </w:numPr>
        <w:spacing w:before="40" w:after="40"/>
      </w:pPr>
      <w:r>
        <w:rPr>
          <w:rFonts w:ascii="Arial" w:cs="Arial" w:eastAsia="Arial" w:hAnsi="Arial"/>
          <w:sz w:val="22"/>
          <w:szCs w:val="22"/>
        </w:rPr>
        <w:t xml:space="preserve">SRS-5 — As Michelle, I want a unified view of all allocations so I don't need my personal spreadsheet. A single screen replacing Michelle's black book, showing all consultants across all active projects with allocation percentages and dates.</w:t>
      </w:r>
    </w:p>
    <w:p>
      <w:pPr>
        <w:spacing w:before="80" w:after="0"/>
      </w:pPr>
      <w:r>
        <w:t xml:space="preserve"/>
      </w:r>
    </w:p>
    <w:p>
      <w:pPr>
        <w:spacing w:before="200" w:after="80"/>
      </w:pPr>
      <w:r>
        <w:rPr>
          <w:rFonts w:ascii="Arial" w:cs="Arial" w:eastAsia="Arial" w:hAnsi="Arial"/>
          <w:b/>
          <w:bCs/>
          <w:color w:val="1F4E79"/>
          <w:sz w:val="22"/>
          <w:szCs w:val="22"/>
        </w:rPr>
        <w:t xml:space="preserve">Epic 2 — Automated Allocation Engine (SRS-2)</w:t>
      </w:r>
    </w:p>
    <w:p>
      <w:pPr>
        <w:pStyle w:val="ListParagraph"/>
        <w:numPr>
          <w:ilvl w:val="0"/>
          <w:numId w:val="2"/>
        </w:numPr>
        <w:spacing w:before="40" w:after="40"/>
      </w:pPr>
      <w:r>
        <w:rPr>
          <w:rFonts w:ascii="Arial" w:cs="Arial" w:eastAsia="Arial" w:hAnsi="Arial"/>
          <w:sz w:val="22"/>
          <w:szCs w:val="22"/>
        </w:rPr>
        <w:t xml:space="preserve">SRS-6 — As Michelle, I want optimal team composition suggestions based on skills and availability so I can allocate in under 10 minutes. The system generates at least 3 team composition options including a best-fit, a junior+mentor pairing, and a growth opportunity option.</w:t>
      </w:r>
    </w:p>
    <w:p>
      <w:pPr>
        <w:pStyle w:val="ListParagraph"/>
        <w:numPr>
          <w:ilvl w:val="0"/>
          <w:numId w:val="2"/>
        </w:numPr>
        <w:spacing w:before="40" w:after="40"/>
      </w:pPr>
      <w:r>
        <w:rPr>
          <w:rFonts w:ascii="Arial" w:cs="Arial" w:eastAsia="Arial" w:hAnsi="Arial"/>
          <w:sz w:val="22"/>
          <w:szCs w:val="22"/>
        </w:rPr>
        <w:t xml:space="preserve">SRS-7 — As Keisha, I want the system to flag my over-allocation before I get assigned to a new project. A preventive check that blocks any assignment that would push a consultant above 85% total allocation, with notifications to both the consultant and the manager.</w:t>
      </w:r>
    </w:p>
    <w:p>
      <w:pPr>
        <w:spacing w:before="80" w:after="0"/>
      </w:pPr>
      <w:r>
        <w:t xml:space="preserve"/>
      </w:r>
    </w:p>
    <w:p>
      <w:pPr>
        <w:spacing w:before="200" w:after="80"/>
      </w:pPr>
      <w:r>
        <w:rPr>
          <w:rFonts w:ascii="Arial" w:cs="Arial" w:eastAsia="Arial" w:hAnsi="Arial"/>
          <w:b/>
          <w:bCs/>
          <w:color w:val="1F4E79"/>
          <w:sz w:val="22"/>
          <w:szCs w:val="22"/>
        </w:rPr>
        <w:t xml:space="preserve">Epic 3 — Skill Gap &amp; Consultant Development (SRS-3)</w:t>
      </w:r>
    </w:p>
    <w:p>
      <w:pPr>
        <w:pStyle w:val="ListParagraph"/>
        <w:numPr>
          <w:ilvl w:val="0"/>
          <w:numId w:val="2"/>
        </w:numPr>
        <w:spacing w:before="40" w:after="40"/>
      </w:pPr>
      <w:r>
        <w:rPr>
          <w:rFonts w:ascii="Arial" w:cs="Arial" w:eastAsia="Arial" w:hAnsi="Arial"/>
          <w:sz w:val="22"/>
          <w:szCs w:val="22"/>
        </w:rPr>
        <w:t xml:space="preserve">SRS-8 — As David, I want to be matched to growth assignments with a senior mentor so I can develop my skills. The system matches junior consultants to projects alongside senior mentors, tracks skill progression, and flags juniors who haven't had a growth opportunity in 90 days.</w:t>
      </w:r>
    </w:p>
    <w:p>
      <w:pPr>
        <w:pStyle w:val="ListParagraph"/>
        <w:numPr>
          <w:ilvl w:val="0"/>
          <w:numId w:val="2"/>
        </w:numPr>
        <w:spacing w:before="40" w:after="40"/>
      </w:pPr>
      <w:r>
        <w:rPr>
          <w:rFonts w:ascii="Arial" w:cs="Arial" w:eastAsia="Arial" w:hAnsi="Arial"/>
          <w:sz w:val="22"/>
          <w:szCs w:val="22"/>
        </w:rPr>
        <w:t xml:space="preserve">SRS-9 — As Robert, I want skill gap reports so I can plan the training budget. The system maps required project skills against the internal skills inventory of all 30 consultants, highlights gaps, and exports a report for training budget planning.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Note on n8n Test Issues</w:t>
            </w:r>
          </w:p>
          <w:p>
            <w:pPr>
              <w:spacing w:before="0" w:after="0"/>
            </w:pPr>
            <w:r>
              <w:rPr>
                <w:rFonts w:ascii="Arial" w:cs="Arial" w:eastAsia="Arial" w:hAnsi="Arial"/>
                <w:i/>
                <w:iCs/>
                <w:sz w:val="22"/>
                <w:szCs w:val="22"/>
              </w:rPr>
              <w:t xml:space="preserve">SRS-10 and SRS-11 are test stories created automatically by the n8n workflow. They confirm that the n8n → Jira connection was successfully established and that external systems can create Jira issues programmatically without manual input.</w:t>
            </w:r>
          </w:p>
        </w:tc>
      </w:tr>
    </w:tbl>
    <w:p>
      <w:pPr>
        <w:spacing w:before="160" w:after="0"/>
      </w:pPr>
      <w:r>
        <w:t xml:space="preserve"/>
      </w:r>
    </w:p>
    <w:p>
      <w:pPr>
        <w:spacing w:before="280" w:after="100"/>
      </w:pPr>
      <w:r>
        <w:rPr>
          <w:rFonts w:ascii="Arial" w:cs="Arial" w:eastAsia="Arial" w:hAnsi="Arial"/>
          <w:b/>
          <w:bCs/>
          <w:color w:val="2E75B6"/>
          <w:sz w:val="26"/>
          <w:szCs w:val="26"/>
        </w:rPr>
        <w:t xml:space="preserve">1.2 n8n Workflow</w:t>
      </w:r>
    </w:p>
    <w:p>
      <w:pPr>
        <w:spacing w:before="60" w:after="60"/>
      </w:pPr>
      <w:r>
        <w:rPr>
          <w:rFonts w:ascii="Arial" w:cs="Arial" w:eastAsia="Arial" w:hAnsi="Arial"/>
          <w:sz w:val="22"/>
          <w:szCs w:val="22"/>
        </w:rPr>
        <w:t xml:space="preserve">A manual trigger workflow in n8n connected to Jira that automatically creates Story tickets in the Smart Resource Scheduler project. The workflow proves that external tools can feed directly into the project management system without manual Jira input, laying the groundwork for automating the full allocation intake process. The connection was authenticated via Jira Software Cloud API credentials.</w:t>
      </w:r>
    </w:p>
    <w:p>
      <w:pPr>
        <w:spacing w:before="100" w:after="0"/>
      </w:pPr>
      <w:r>
        <w:t xml:space="preserve"/>
      </w:r>
    </w:p>
    <w:p>
      <w:pPr>
        <w:spacing w:before="280" w:after="100"/>
      </w:pPr>
      <w:r>
        <w:rPr>
          <w:rFonts w:ascii="Arial" w:cs="Arial" w:eastAsia="Arial" w:hAnsi="Arial"/>
          <w:b/>
          <w:bCs/>
          <w:color w:val="2E75B6"/>
          <w:sz w:val="26"/>
          <w:szCs w:val="26"/>
        </w:rPr>
        <w:t xml:space="preserve">1.3 System Connections</w:t>
      </w:r>
    </w:p>
    <w:p>
      <w:pPr>
        <w:spacing w:before="60" w:after="60"/>
      </w:pPr>
      <w:r>
        <w:rPr>
          <w:rFonts w:ascii="Arial" w:cs="Arial" w:eastAsia="Arial" w:hAnsi="Arial"/>
          <w:sz w:val="22"/>
          <w:szCs w:val="22"/>
        </w:rPr>
        <w:t xml:space="preserve">The Day 1 system assumed the following data flow across connected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 in the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HR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Stores skill profiles, seniority levels, allocation percentages, and development goals for all 30 SilverTrust consultants. Primary data source for all three epics.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n8n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Automation layer connecting all components. Orchestrates data flow between HR database, Google Calendar, LLM, and Jira. Different workflows serve different epics.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LLM (AI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Analyses skill profiles and project requirements to generate allocation suggestions (SRS-6), evaluate skill gaps (SRS-9), and recommend mentor pairings (SRS-8).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Google Calendar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Source of real-time availability data. n8n reads calendar entries to determine consultant availability without requiring manual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Jira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 management layer. Stores epics, user stories, and acceptance criteria. Receives automated issue creation from n8n workflows.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Allocation Output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Dashboard and report outputs consumed by Robert (capacity decisions), Michelle (team composition), and Keisha (over-allocation alerts).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Key Design Decision</w:t>
            </w:r>
          </w:p>
          <w:p>
            <w:pPr>
              <w:spacing w:before="0" w:after="0"/>
            </w:pPr>
            <w:r>
              <w:rPr>
                <w:rFonts w:ascii="Arial" w:cs="Arial" w:eastAsia="Arial" w:hAnsi="Arial"/>
                <w:i/>
                <w:iCs/>
                <w:sz w:val="22"/>
                <w:szCs w:val="22"/>
              </w:rPr>
              <w:t xml:space="preserve">Not every story required an LLM. Keisha’s over-allocation flag (SRS-7) was designed as a simple Google Calendar → n8n check with no AI layer — a deliberate choice to keep the system efficient where intelligence adds no value. The LLM was reserved for complex decisions: team composition, skill gap analysis, and mentor matching.</w:t>
            </w:r>
          </w:p>
        </w:tc>
      </w:tr>
    </w:tbl>
    <w:p>
      <w:pPr>
        <w:spacing w:before="200" w:after="0"/>
      </w:pPr>
      <w:r>
        <w:t xml:space="preserve"/>
      </w:r>
    </w:p>
    <w:p>
      <w:pPr>
        <w:spacing w:before="360" w:after="120"/>
      </w:pPr>
      <w:r>
        <w:rPr>
          <w:rFonts w:ascii="Arial" w:cs="Arial" w:eastAsia="Arial" w:hAnsi="Arial"/>
          <w:b/>
          <w:bCs/>
          <w:color w:val="1F4E79"/>
          <w:sz w:val="36"/>
          <w:szCs w:val="36"/>
        </w:rPr>
        <w:t xml:space="preserve">Part 1.4: Jira → Trello Migration — What Translates and What Is Lost</w:t>
      </w:r>
    </w:p>
    <w:p>
      <w:pPr>
        <w:spacing w:before="60" w:after="60"/>
      </w:pPr>
      <w:r>
        <w:rPr>
          <w:rFonts w:ascii="Arial" w:cs="Arial" w:eastAsia="Arial" w:hAnsi="Arial"/>
          <w:sz w:val="22"/>
          <w:szCs w:val="22"/>
        </w:rPr>
        <w:t xml:space="preserve">The acquisition requires migrating the Smart Resource Scheduler from Jira to a new platform. Trello is a flat Kanban board tool with a simple structure: Boards → Lists (columns) → Cards → Checklists → Checklist items. It has no native concept of epics, sprints, or parent-child hierarchy. This section documents how each Jira element maps to Trello and what is lost in the translation.</w:t>
      </w:r>
    </w:p>
    <w:p>
      <w:pPr>
        <w:spacing w:before="120" w:after="0"/>
      </w:pPr>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800"/>
        <w:gridCol w:w="4360"/>
      </w:tblGrid>
      <w:tr>
        <w:tc>
          <w:tcPr>
            <w:tcW w:type="dxa" w:w="2200"/>
            <w:shd w:fill="1F4E79" w:val="clear"/>
            <w:tcMar>
              <w:top w:type="dxa" w:w="80"/>
              <w:left w:type="dxa" w:w="120"/>
              <w:bottom w:type="dxa" w:w="80"/>
              <w:right w:type="dxa" w:w="120"/>
            </w:tcMar>
          </w:tcPr>
          <w:p>
            <w:r>
              <w:rPr>
                <w:rFonts w:ascii="Arial" w:cs="Arial" w:eastAsia="Arial" w:hAnsi="Arial"/>
                <w:b/>
                <w:bCs/>
                <w:color w:val="FFFFFF"/>
                <w:sz w:val="22"/>
                <w:szCs w:val="22"/>
              </w:rPr>
              <w:t xml:space="preserve">Jira Feature</w:t>
            </w:r>
          </w:p>
        </w:tc>
        <w:tc>
          <w:tcPr>
            <w:tcW w:type="dxa" w:w="2800"/>
            <w:shd w:fill="1F4E79" w:val="clear"/>
            <w:tcMar>
              <w:top w:type="dxa" w:w="80"/>
              <w:left w:type="dxa" w:w="120"/>
              <w:bottom w:type="dxa" w:w="80"/>
              <w:right w:type="dxa" w:w="120"/>
            </w:tcMar>
          </w:tcPr>
          <w:p>
            <w:r>
              <w:rPr>
                <w:rFonts w:ascii="Arial" w:cs="Arial" w:eastAsia="Arial" w:hAnsi="Arial"/>
                <w:b/>
                <w:bCs/>
                <w:color w:val="FFFFFF"/>
                <w:sz w:val="22"/>
                <w:szCs w:val="22"/>
              </w:rPr>
              <w:t xml:space="preserve">Trello Equivalent</w:t>
            </w:r>
          </w:p>
        </w:tc>
        <w:tc>
          <w:tcPr>
            <w:tcW w:type="dxa" w:w="4360"/>
            <w:shd w:fill="1F4E79" w:val="clear"/>
            <w:tcMar>
              <w:top w:type="dxa" w:w="80"/>
              <w:left w:type="dxa" w:w="120"/>
              <w:bottom w:type="dxa" w:w="80"/>
              <w:right w:type="dxa" w:w="120"/>
            </w:tcMar>
          </w:tcPr>
          <w:p>
            <w:r>
              <w:rPr>
                <w:rFonts w:ascii="Arial" w:cs="Arial" w:eastAsia="Arial" w:hAnsi="Arial"/>
                <w:b/>
                <w:bCs/>
                <w:color w:val="FFFFFF"/>
                <w:sz w:val="22"/>
                <w:szCs w:val="22"/>
              </w:rPr>
              <w:t xml:space="preserve">What Is Lost</w:t>
            </w:r>
          </w:p>
        </w:tc>
      </w:tr>
      <w:tr>
        <w:tc>
          <w:tcPr>
            <w:tcW w:type="dxa" w:w="2200"/>
            <w:shd w:fill="FFFFFF" w:val="clear"/>
            <w:tcMar>
              <w:top w:type="dxa" w:w="80"/>
              <w:left w:type="dxa" w:w="120"/>
              <w:bottom w:type="dxa" w:w="80"/>
              <w:right w:type="dxa" w:w="120"/>
            </w:tcMar>
          </w:tcPr>
          <w:p>
            <w:r>
              <w:rPr>
                <w:rFonts w:ascii="Arial" w:cs="Arial" w:eastAsia="Arial" w:hAnsi="Arial"/>
                <w:sz w:val="22"/>
                <w:szCs w:val="22"/>
              </w:rPr>
              <w:t xml:space="preserve">Epics</w:t>
            </w:r>
          </w:p>
        </w:tc>
        <w:tc>
          <w:tcPr>
            <w:tcW w:type="dxa" w:w="2800"/>
            <w:shd w:fill="FFFFFF" w:val="clear"/>
            <w:tcMar>
              <w:top w:type="dxa" w:w="80"/>
              <w:left w:type="dxa" w:w="120"/>
              <w:bottom w:type="dxa" w:w="80"/>
              <w:right w:type="dxa" w:w="120"/>
            </w:tcMar>
          </w:tcPr>
          <w:p>
            <w:r>
              <w:rPr>
                <w:rFonts w:ascii="Arial" w:cs="Arial" w:eastAsia="Arial" w:hAnsi="Arial"/>
                <w:sz w:val="22"/>
                <w:szCs w:val="22"/>
              </w:rPr>
              <w:t xml:space="preserve">Labels (one color per epic)</w:t>
            </w:r>
          </w:p>
        </w:tc>
        <w:tc>
          <w:tcPr>
            <w:tcW w:type="dxa" w:w="4360"/>
            <w:shd w:fill="FFFFFF" w:val="clear"/>
            <w:tcMar>
              <w:top w:type="dxa" w:w="80"/>
              <w:left w:type="dxa" w:w="120"/>
              <w:bottom w:type="dxa" w:w="80"/>
              <w:right w:type="dxa" w:w="120"/>
            </w:tcMar>
          </w:tcPr>
          <w:p>
            <w:r>
              <w:rPr>
                <w:rFonts w:ascii="Arial" w:cs="Arial" w:eastAsia="Arial" w:hAnsi="Arial"/>
                <w:sz w:val="22"/>
                <w:szCs w:val="22"/>
              </w:rPr>
              <w:t xml:space="preserve">No true parent-child hierarchy. Epic membership is visual only via label color, not structural.</w:t>
            </w:r>
          </w:p>
        </w:tc>
      </w:tr>
      <w:tr>
        <w:tc>
          <w:tcPr>
            <w:tcW w:type="dxa" w:w="2200"/>
            <w:shd w:fill="F5F5F5" w:val="clear"/>
            <w:tcMar>
              <w:top w:type="dxa" w:w="80"/>
              <w:left w:type="dxa" w:w="120"/>
              <w:bottom w:type="dxa" w:w="80"/>
              <w:right w:type="dxa" w:w="120"/>
            </w:tcMar>
          </w:tcPr>
          <w:p>
            <w:r>
              <w:rPr>
                <w:rFonts w:ascii="Arial" w:cs="Arial" w:eastAsia="Arial" w:hAnsi="Arial"/>
                <w:sz w:val="22"/>
                <w:szCs w:val="22"/>
              </w:rPr>
              <w:t xml:space="preserve">User Stories</w:t>
            </w:r>
          </w:p>
        </w:tc>
        <w:tc>
          <w:tcPr>
            <w:tcW w:type="dxa" w:w="2800"/>
            <w:shd w:fill="F5F5F5" w:val="clear"/>
            <w:tcMar>
              <w:top w:type="dxa" w:w="80"/>
              <w:left w:type="dxa" w:w="120"/>
              <w:bottom w:type="dxa" w:w="80"/>
              <w:right w:type="dxa" w:w="120"/>
            </w:tcMar>
          </w:tcPr>
          <w:p>
            <w:r>
              <w:rPr>
                <w:rFonts w:ascii="Arial" w:cs="Arial" w:eastAsia="Arial" w:hAnsi="Arial"/>
                <w:sz w:val="22"/>
                <w:szCs w:val="22"/>
              </w:rPr>
              <w:t xml:space="preserve">Cards</w:t>
            </w:r>
          </w:p>
        </w:tc>
        <w:tc>
          <w:tcPr>
            <w:tcW w:type="dxa" w:w="4360"/>
            <w:shd w:fill="F5F5F5" w:val="clear"/>
            <w:tcMar>
              <w:top w:type="dxa" w:w="80"/>
              <w:left w:type="dxa" w:w="120"/>
              <w:bottom w:type="dxa" w:w="80"/>
              <w:right w:type="dxa" w:w="120"/>
            </w:tcMar>
          </w:tcPr>
          <w:p>
            <w:r>
              <w:rPr>
                <w:rFonts w:ascii="Arial" w:cs="Arial" w:eastAsia="Arial" w:hAnsi="Arial"/>
                <w:sz w:val="22"/>
                <w:szCs w:val="22"/>
              </w:rPr>
              <w:t xml:space="preserve">Visibility reduced. In Jira, story ID, status, epic link, and sprint are visible at a glance. In Trello, most detail requires opening the card individually.</w:t>
            </w:r>
          </w:p>
        </w:tc>
      </w:tr>
      <w:tr>
        <w:tc>
          <w:tcPr>
            <w:tcW w:type="dxa" w:w="2200"/>
            <w:shd w:fill="FFFFFF" w:val="clear"/>
            <w:tcMar>
              <w:top w:type="dxa" w:w="80"/>
              <w:left w:type="dxa" w:w="120"/>
              <w:bottom w:type="dxa" w:w="80"/>
              <w:right w:type="dxa" w:w="120"/>
            </w:tcMar>
          </w:tcPr>
          <w:p>
            <w:r>
              <w:rPr>
                <w:rFonts w:ascii="Arial" w:cs="Arial" w:eastAsia="Arial" w:hAnsi="Arial"/>
                <w:sz w:val="22"/>
                <w:szCs w:val="22"/>
              </w:rPr>
              <w:t xml:space="preserve">Acceptance Criteria</w:t>
            </w:r>
          </w:p>
        </w:tc>
        <w:tc>
          <w:tcPr>
            <w:tcW w:type="dxa" w:w="2800"/>
            <w:shd w:fill="FFFFFF" w:val="clear"/>
            <w:tcMar>
              <w:top w:type="dxa" w:w="80"/>
              <w:left w:type="dxa" w:w="120"/>
              <w:bottom w:type="dxa" w:w="80"/>
              <w:right w:type="dxa" w:w="120"/>
            </w:tcMar>
          </w:tcPr>
          <w:p>
            <w:r>
              <w:rPr>
                <w:rFonts w:ascii="Arial" w:cs="Arial" w:eastAsia="Arial" w:hAnsi="Arial"/>
                <w:sz w:val="22"/>
                <w:szCs w:val="22"/>
              </w:rPr>
              <w:t xml:space="preserve">Checklists inside cards</w:t>
            </w:r>
          </w:p>
        </w:tc>
        <w:tc>
          <w:tcPr>
            <w:tcW w:type="dxa" w:w="4360"/>
            <w:shd w:fill="FFFFFF" w:val="clear"/>
            <w:tcMar>
              <w:top w:type="dxa" w:w="80"/>
              <w:left w:type="dxa" w:w="120"/>
              <w:bottom w:type="dxa" w:w="80"/>
              <w:right w:type="dxa" w:w="120"/>
            </w:tcMar>
          </w:tcPr>
          <w:p>
            <w:r>
              <w:rPr>
                <w:rFonts w:ascii="Arial" w:cs="Arial" w:eastAsia="Arial" w:hAnsi="Arial"/>
                <w:sz w:val="22"/>
                <w:szCs w:val="22"/>
              </w:rPr>
              <w:t xml:space="preserve">Well preserved. Checklists inside cards map cleanly to acceptance criteria bullet points.</w:t>
            </w:r>
          </w:p>
        </w:tc>
      </w:tr>
      <w:tr>
        <w:tc>
          <w:tcPr>
            <w:tcW w:type="dxa" w:w="2200"/>
            <w:shd w:fill="F5F5F5" w:val="clear"/>
            <w:tcMar>
              <w:top w:type="dxa" w:w="80"/>
              <w:left w:type="dxa" w:w="120"/>
              <w:bottom w:type="dxa" w:w="80"/>
              <w:right w:type="dxa" w:w="120"/>
            </w:tcMar>
          </w:tcPr>
          <w:p>
            <w:r>
              <w:rPr>
                <w:rFonts w:ascii="Arial" w:cs="Arial" w:eastAsia="Arial" w:hAnsi="Arial"/>
                <w:sz w:val="22"/>
                <w:szCs w:val="22"/>
              </w:rPr>
              <w:t xml:space="preserve">Sprints</w:t>
            </w:r>
          </w:p>
        </w:tc>
        <w:tc>
          <w:tcPr>
            <w:tcW w:type="dxa" w:w="2800"/>
            <w:shd w:fill="F5F5F5" w:val="clear"/>
            <w:tcMar>
              <w:top w:type="dxa" w:w="80"/>
              <w:left w:type="dxa" w:w="120"/>
              <w:bottom w:type="dxa" w:w="80"/>
              <w:right w:type="dxa" w:w="120"/>
            </w:tcMar>
          </w:tcPr>
          <w:p>
            <w:r>
              <w:rPr>
                <w:rFonts w:ascii="Arial" w:cs="Arial" w:eastAsia="Arial" w:hAnsi="Arial"/>
                <w:sz w:val="22"/>
                <w:szCs w:val="22"/>
              </w:rPr>
              <w:t xml:space="preserve">Workflow state columns (To Do / In Progress / Done)</w:t>
            </w:r>
          </w:p>
        </w:tc>
        <w:tc>
          <w:tcPr>
            <w:tcW w:type="dxa" w:w="4360"/>
            <w:shd w:fill="F5F5F5" w:val="clear"/>
            <w:tcMar>
              <w:top w:type="dxa" w:w="80"/>
              <w:left w:type="dxa" w:w="120"/>
              <w:bottom w:type="dxa" w:w="80"/>
              <w:right w:type="dxa" w:w="120"/>
            </w:tcMar>
          </w:tcPr>
          <w:p>
            <w:r>
              <w:rPr>
                <w:rFonts w:ascii="Arial" w:cs="Arial" w:eastAsia="Arial" w:hAnsi="Arial"/>
                <w:sz w:val="22"/>
                <w:szCs w:val="22"/>
              </w:rPr>
              <w:t xml:space="preserve">Sprint start/end dates, velocity tracking, and burndown charts are lost entirely. Trello columns show state but not time.</w:t>
            </w:r>
          </w:p>
        </w:tc>
      </w:tr>
      <w:tr>
        <w:tc>
          <w:tcPr>
            <w:tcW w:type="dxa" w:w="2200"/>
            <w:shd w:fill="FFFFFF" w:val="clear"/>
            <w:tcMar>
              <w:top w:type="dxa" w:w="80"/>
              <w:left w:type="dxa" w:w="120"/>
              <w:bottom w:type="dxa" w:w="80"/>
              <w:right w:type="dxa" w:w="120"/>
            </w:tcMar>
          </w:tcPr>
          <w:p>
            <w:r>
              <w:rPr>
                <w:rFonts w:ascii="Arial" w:cs="Arial" w:eastAsia="Arial" w:hAnsi="Arial"/>
                <w:sz w:val="22"/>
                <w:szCs w:val="22"/>
              </w:rPr>
              <w:t xml:space="preserve">Epic-Story Hierarchy</w:t>
            </w:r>
          </w:p>
        </w:tc>
        <w:tc>
          <w:tcPr>
            <w:tcW w:type="dxa" w:w="2800"/>
            <w:shd w:fill="FFFFFF" w:val="clear"/>
            <w:tcMar>
              <w:top w:type="dxa" w:w="80"/>
              <w:left w:type="dxa" w:w="120"/>
              <w:bottom w:type="dxa" w:w="80"/>
              <w:right w:type="dxa" w:w="120"/>
            </w:tcMar>
          </w:tcPr>
          <w:p>
            <w:r>
              <w:rPr>
                <w:rFonts w:ascii="Arial" w:cs="Arial" w:eastAsia="Arial" w:hAnsi="Arial"/>
                <w:sz w:val="22"/>
                <w:szCs w:val="22"/>
              </w:rPr>
              <w:t xml:space="preserve">Labels on cards (same color as epic label)</w:t>
            </w:r>
          </w:p>
        </w:tc>
        <w:tc>
          <w:tcPr>
            <w:tcW w:type="dxa" w:w="4360"/>
            <w:shd w:fill="FFFFFF" w:val="clear"/>
            <w:tcMar>
              <w:top w:type="dxa" w:w="80"/>
              <w:left w:type="dxa" w:w="120"/>
              <w:bottom w:type="dxa" w:w="80"/>
              <w:right w:type="dxa" w:w="120"/>
            </w:tcMar>
          </w:tcPr>
          <w:p>
            <w:r>
              <w:rPr>
                <w:rFonts w:ascii="Arial" w:cs="Arial" w:eastAsia="Arial" w:hAnsi="Arial"/>
                <w:sz w:val="22"/>
                <w:szCs w:val="22"/>
              </w:rPr>
              <w:t xml:space="preserve">Structural parent-child relationship is lost. Grouping is visual only and easily broken if labels are not maintained consistently.</w:t>
            </w:r>
          </w:p>
        </w:tc>
      </w:tr>
      <w:tr>
        <w:tc>
          <w:tcPr>
            <w:tcW w:type="dxa" w:w="2200"/>
            <w:shd w:fill="F5F5F5" w:val="clear"/>
            <w:tcMar>
              <w:top w:type="dxa" w:w="80"/>
              <w:left w:type="dxa" w:w="120"/>
              <w:bottom w:type="dxa" w:w="80"/>
              <w:right w:type="dxa" w:w="120"/>
            </w:tcMar>
          </w:tcPr>
          <w:p>
            <w:r>
              <w:rPr>
                <w:rFonts w:ascii="Arial" w:cs="Arial" w:eastAsia="Arial" w:hAnsi="Arial"/>
                <w:sz w:val="22"/>
                <w:szCs w:val="22"/>
              </w:rPr>
              <w:t xml:space="preserve">Priorities</w:t>
            </w:r>
          </w:p>
        </w:tc>
        <w:tc>
          <w:tcPr>
            <w:tcW w:type="dxa" w:w="2800"/>
            <w:shd w:fill="F5F5F5" w:val="clear"/>
            <w:tcMar>
              <w:top w:type="dxa" w:w="80"/>
              <w:left w:type="dxa" w:w="120"/>
              <w:bottom w:type="dxa" w:w="80"/>
              <w:right w:type="dxa" w:w="120"/>
            </w:tcMar>
          </w:tcPr>
          <w:p>
            <w:r>
              <w:rPr>
                <w:rFonts w:ascii="Arial" w:cs="Arial" w:eastAsia="Arial" w:hAnsi="Arial"/>
                <w:sz w:val="22"/>
                <w:szCs w:val="22"/>
              </w:rPr>
              <w:t xml:space="preserve">Card order within columns (drag to reorder)</w:t>
            </w:r>
          </w:p>
        </w:tc>
        <w:tc>
          <w:tcPr>
            <w:tcW w:type="dxa" w:w="4360"/>
            <w:shd w:fill="F5F5F5" w:val="clear"/>
            <w:tcMar>
              <w:top w:type="dxa" w:w="80"/>
              <w:left w:type="dxa" w:w="120"/>
              <w:bottom w:type="dxa" w:w="80"/>
              <w:right w:type="dxa" w:w="120"/>
            </w:tcMar>
          </w:tcPr>
          <w:p>
            <w:r>
              <w:rPr>
                <w:rFonts w:ascii="Arial" w:cs="Arial" w:eastAsia="Arial" w:hAnsi="Arial"/>
                <w:sz w:val="22"/>
                <w:szCs w:val="22"/>
              </w:rPr>
              <w:t xml:space="preserve">No formal High/Medium/Low system. Priority is purely visual and manual. Labels are already used for epics so cannot double up for priority.</w:t>
            </w:r>
          </w:p>
        </w:tc>
      </w:tr>
    </w:tbl>
    <w:p>
      <w:pPr>
        <w:spacing w:before="160" w:after="0"/>
      </w:pPr>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E2EFDA"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Recommended Trello Board Design for Smart Resource Scheduler</w:t>
            </w:r>
          </w:p>
          <w:p>
            <w:pPr>
              <w:spacing w:before="0" w:after="40"/>
            </w:pPr>
            <w:r>
              <w:rPr>
                <w:rFonts w:ascii="Arial" w:cs="Arial" w:eastAsia="Arial" w:hAnsi="Arial"/>
                <w:sz w:val="22"/>
                <w:szCs w:val="22"/>
              </w:rPr>
              <w:t xml:space="preserve">Columns (workflow states): To Do | In Progress | Done</w:t>
            </w:r>
          </w:p>
          <w:p>
            <w:pPr>
              <w:spacing w:before="0" w:after="40"/>
            </w:pPr>
            <w:r>
              <w:rPr>
                <w:rFonts w:ascii="Arial" w:cs="Arial" w:eastAsia="Arial" w:hAnsi="Arial"/>
                <w:sz w:val="22"/>
                <w:szCs w:val="22"/>
              </w:rPr>
              <w:t xml:space="preserve">Labels (epics): Blue = Capacity Forecasting | Green = Automated Allocation | Purple = Skill Gap &amp; Development</w:t>
            </w:r>
          </w:p>
          <w:p>
            <w:pPr>
              <w:spacing w:before="0" w:after="0"/>
            </w:pPr>
            <w:r>
              <w:rPr>
                <w:rFonts w:ascii="Arial" w:cs="Arial" w:eastAsia="Arial" w:hAnsi="Arial"/>
                <w:sz w:val="22"/>
                <w:szCs w:val="22"/>
              </w:rPr>
              <w:t xml:space="preserve">Cards (stories): Each story becomes a card with its acceptance criteria as a checklist inside. Card order within each column represents priority.</w:t>
            </w:r>
          </w:p>
        </w:tc>
      </w:tr>
    </w:tbl>
    <w:p>
      <w:pPr>
        <w:spacing w:before="200" w:after="0"/>
      </w:pPr>
      <w:r>
        <w:t xml:space="preserve"/>
      </w:r>
    </w:p>
    <w:p>
      <w:pPr>
        <w:spacing w:before="360" w:after="120"/>
      </w:pPr>
      <w:r>
        <w:rPr>
          <w:rFonts w:ascii="Arial" w:cs="Arial" w:eastAsia="Arial" w:hAnsi="Arial"/>
          <w:b/>
          <w:bCs/>
          <w:color w:val="1F4E79"/>
          <w:sz w:val="36"/>
          <w:szCs w:val="36"/>
        </w:rPr>
        <w:t xml:space="preserve">Part 2: What Breaks — Acquisition Impact</w:t>
      </w:r>
    </w:p>
    <w:p>
      <w:pPr>
        <w:spacing w:before="60" w:after="60"/>
      </w:pPr>
      <w:r>
        <w:rPr>
          <w:rFonts w:ascii="Arial" w:cs="Arial" w:eastAsia="Arial" w:hAnsi="Arial"/>
          <w:sz w:val="22"/>
          <w:szCs w:val="22"/>
        </w:rPr>
        <w:t xml:space="preserve">The Hammer Consulting acquisition introduces 75 new consultants, a second HR system, different skill definitions, different seniority structures, and ongoing Hammer project commitments that the Day 1 system has no visibility into. This section documents what breaks across each epic and the n8n layer.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Root Cause</w:t>
            </w:r>
          </w:p>
          <w:p>
            <w:pPr>
              <w:spacing w:before="0" w:after="0"/>
            </w:pPr>
            <w:r>
              <w:rPr>
                <w:rFonts w:ascii="Arial" w:cs="Arial" w:eastAsia="Arial" w:hAnsi="Arial"/>
                <w:i/>
                <w:iCs/>
                <w:sz w:val="22"/>
                <w:szCs w:val="22"/>
              </w:rPr>
              <w:t xml:space="preserve">The root cause of almost every breakdown is a communication failure between systems. The two companies’ HR databases are different, their CRMs are different, their skill and seniority definitions differ, and the connection between resources and projects does not exist across company boundaries. Everything downstream of that breaks as a result.</w:t>
            </w:r>
          </w:p>
        </w:tc>
      </w:tr>
    </w:tbl>
    <w:p>
      <w:pPr>
        <w:spacing w:before="160" w:after="0"/>
      </w:pPr>
      <w:r>
        <w:t xml:space="preserve"/>
      </w:r>
    </w:p>
    <w:p>
      <w:pPr>
        <w:spacing w:before="280" w:after="100"/>
      </w:pPr>
      <w:r>
        <w:rPr>
          <w:rFonts w:ascii="Arial" w:cs="Arial" w:eastAsia="Arial" w:hAnsi="Arial"/>
          <w:b/>
          <w:bCs/>
          <w:color w:val="2E75B6"/>
          <w:sz w:val="26"/>
          <w:szCs w:val="26"/>
        </w:rPr>
        <w:t xml:space="preserve">2.1 Epic 1 — Capacity Forecasting &amp; Visibility</w:t>
      </w:r>
    </w:p>
    <w:p>
      <w:pPr>
        <w:spacing w:before="60" w:after="60"/>
      </w:pPr>
      <w:r>
        <w:rPr>
          <w:rFonts w:ascii="Arial" w:cs="Arial" w:eastAsia="Arial" w:hAnsi="Arial"/>
          <w:sz w:val="22"/>
          <w:szCs w:val="22"/>
        </w:rPr>
        <w:t xml:space="preserve">Robert's dashboard was built for 30 consultants in one HR database with one definition of capacity. The acquisition breaks this in two ways:</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Incomplete data: The dashboard has no visibility into 75 Hammer consultants. Robert sees 30 people when he actually has 105 available, making every capacity decision underestimated.</w:t>
      </w:r>
    </w:p>
    <w:p>
      <w:pPr>
        <w:pStyle w:val="ListParagraph"/>
        <w:numPr>
          <w:ilvl w:val="0"/>
          <w:numId w:val="2"/>
        </w:numPr>
        <w:spacing w:before="40" w:after="40"/>
      </w:pPr>
      <w:r>
        <w:rPr>
          <w:rFonts w:ascii="Arial" w:cs="Arial" w:eastAsia="Arial" w:hAnsi="Arial"/>
          <w:sz w:val="22"/>
          <w:szCs w:val="22"/>
        </w:rPr>
        <w:t xml:space="preserve">Incomparable data: Capacity is not just availability — it is availability + skills + current commitments. Even if all 105 people could be pulled into the dashboard, their allocation percentages are not comparable. SilverTrust and Hammer measure utilization differently. A Hammer consultant showing 60% availability may already be fully committed to Hammer projects that the system cannot see.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Impact on Robert</w:t>
            </w:r>
          </w:p>
          <w:p>
            <w:pPr>
              <w:spacing w:before="0" w:after="0"/>
            </w:pPr>
            <w:r>
              <w:rPr>
                <w:rFonts w:ascii="Arial" w:cs="Arial" w:eastAsia="Arial" w:hAnsi="Arial"/>
                <w:i/>
                <w:iCs/>
                <w:sz w:val="22"/>
                <w:szCs w:val="22"/>
              </w:rPr>
              <w:t xml:space="preserve">Robert cannot answer 'can we take this project?' reliably. He risks committing to projects SilverTrust cannot actually deliver, or turning down projects they could take if the full 105-person pool were visible and trustworthy.</w:t>
            </w:r>
          </w:p>
        </w:tc>
      </w:tr>
    </w:tbl>
    <w:p>
      <w:pPr>
        <w:spacing w:before="160" w:after="0"/>
      </w:pPr>
      <w:r>
        <w:t xml:space="preserve"/>
      </w:r>
    </w:p>
    <w:p>
      <w:pPr>
        <w:spacing w:before="280" w:after="100"/>
      </w:pPr>
      <w:r>
        <w:rPr>
          <w:rFonts w:ascii="Arial" w:cs="Arial" w:eastAsia="Arial" w:hAnsi="Arial"/>
          <w:b/>
          <w:bCs/>
          <w:color w:val="2E75B6"/>
          <w:sz w:val="26"/>
          <w:szCs w:val="26"/>
        </w:rPr>
        <w:t xml:space="preserve">2.2 Epic 2 — Automated Allocation Engine</w:t>
      </w:r>
    </w:p>
    <w:p>
      <w:pPr>
        <w:spacing w:before="60" w:after="60"/>
      </w:pPr>
      <w:r>
        <w:rPr>
          <w:rFonts w:ascii="Arial" w:cs="Arial" w:eastAsia="Arial" w:hAnsi="Arial"/>
          <w:sz w:val="22"/>
          <w:szCs w:val="22"/>
        </w:rPr>
        <w:t xml:space="preserve">Michelle's team composition suggestions were built on a clean, standardized skills taxonomy for 30 people. The acquisition introduces a skills taxonomy mismatch that makes the suggestions unreliable:</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Unknown equivalencies: SilverTrust calls a role 'Software Engineer.' Hammer calls the same role 'Senior Developer.' The allocation engine does not know these are equivalent, so it cannot include Hammer consultants in relevant suggestions.</w:t>
      </w:r>
    </w:p>
    <w:p>
      <w:pPr>
        <w:pStyle w:val="ListParagraph"/>
        <w:numPr>
          <w:ilvl w:val="0"/>
          <w:numId w:val="2"/>
        </w:numPr>
        <w:spacing w:before="40" w:after="40"/>
      </w:pPr>
      <w:r>
        <w:rPr>
          <w:rFonts w:ascii="Arial" w:cs="Arial" w:eastAsia="Arial" w:hAnsi="Arial"/>
          <w:sz w:val="22"/>
          <w:szCs w:val="22"/>
        </w:rPr>
        <w:t xml:space="preserve">Unknown seniority: Seniority levels are not standardized between companies. A 'Senior' at SilverTrust may not be equivalent to a 'Senior' at Hammer. The 85% allocation cap logic breaks if seniority-based rules differ.</w:t>
      </w:r>
    </w:p>
    <w:p>
      <w:pPr>
        <w:pStyle w:val="ListParagraph"/>
        <w:numPr>
          <w:ilvl w:val="0"/>
          <w:numId w:val="2"/>
        </w:numPr>
        <w:spacing w:before="40" w:after="40"/>
      </w:pPr>
      <w:r>
        <w:rPr>
          <w:rFonts w:ascii="Arial" w:cs="Arial" w:eastAsia="Arial" w:hAnsi="Arial"/>
          <w:sz w:val="22"/>
          <w:szCs w:val="22"/>
        </w:rPr>
        <w:t xml:space="preserve">Poor suggestion quality: Garbage in, garbage out. The LLM can only be as good as the data feeding it. Unstandardized profiles produce untrustworthy suggestions, which means Michelle cannot act on them — pushing her back to her spreadsheet.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Impact on Michelle</w:t>
            </w:r>
          </w:p>
          <w:p>
            <w:pPr>
              <w:spacing w:before="0" w:after="0"/>
            </w:pPr>
            <w:r>
              <w:rPr>
                <w:rFonts w:ascii="Arial" w:cs="Arial" w:eastAsia="Arial" w:hAnsi="Arial"/>
                <w:i/>
                <w:iCs/>
                <w:sz w:val="22"/>
                <w:szCs w:val="22"/>
              </w:rPr>
              <w:t xml:space="preserve">The system she was supposed to replace her black book with becomes less reliable than the black book. She reverts to manual allocation, defeating the entire purpose of Epic 2.</w:t>
            </w:r>
          </w:p>
        </w:tc>
      </w:tr>
    </w:tbl>
    <w:p>
      <w:pPr>
        <w:spacing w:before="160" w:after="0"/>
      </w:pPr>
      <w:r>
        <w:t xml:space="preserve"/>
      </w:r>
    </w:p>
    <w:p>
      <w:pPr>
        <w:spacing w:before="280" w:after="100"/>
      </w:pPr>
      <w:r>
        <w:rPr>
          <w:rFonts w:ascii="Arial" w:cs="Arial" w:eastAsia="Arial" w:hAnsi="Arial"/>
          <w:b/>
          <w:bCs/>
          <w:color w:val="2E75B6"/>
          <w:sz w:val="26"/>
          <w:szCs w:val="26"/>
        </w:rPr>
        <w:t xml:space="preserve">2.3 Epic 3 — Skill Gap &amp; Consultant Development</w:t>
      </w:r>
    </w:p>
    <w:p>
      <w:pPr>
        <w:spacing w:before="60" w:after="60"/>
      </w:pPr>
      <w:r>
        <w:rPr>
          <w:rFonts w:ascii="Arial" w:cs="Arial" w:eastAsia="Arial" w:hAnsi="Arial"/>
          <w:sz w:val="22"/>
          <w:szCs w:val="22"/>
        </w:rPr>
        <w:t xml:space="preserve">The skill gap report and mentor matching system both depend on knowing the complete skills inventory across all consultants. The acquisition breaks this at every level:</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Robert cannot define what a skill gap is anymore: He might identify a gap in 'Software Engineering' when Hammer actually has 20 'Senior Developers' who cover exactly that need — but the system doesn't know they're equivalent.</w:t>
      </w:r>
    </w:p>
    <w:p>
      <w:pPr>
        <w:pStyle w:val="ListParagraph"/>
        <w:numPr>
          <w:ilvl w:val="0"/>
          <w:numId w:val="2"/>
        </w:numPr>
        <w:spacing w:before="40" w:after="40"/>
      </w:pPr>
      <w:r>
        <w:rPr>
          <w:rFonts w:ascii="Arial" w:cs="Arial" w:eastAsia="Arial" w:hAnsi="Arial"/>
          <w:sz w:val="22"/>
          <w:szCs w:val="22"/>
        </w:rPr>
        <w:t xml:space="preserve">The gap report becomes unreliable in both directions: Robert might think he's covered when Hammer's people are already committed to Hammer projects. Or he might think there's a gap when the skill exists under a different name at Hammer.</w:t>
      </w:r>
    </w:p>
    <w:p>
      <w:pPr>
        <w:pStyle w:val="ListParagraph"/>
        <w:numPr>
          <w:ilvl w:val="0"/>
          <w:numId w:val="2"/>
        </w:numPr>
        <w:spacing w:before="40" w:after="40"/>
      </w:pPr>
      <w:r>
        <w:rPr>
          <w:rFonts w:ascii="Arial" w:cs="Arial" w:eastAsia="Arial" w:hAnsi="Arial"/>
          <w:sz w:val="22"/>
          <w:szCs w:val="22"/>
        </w:rPr>
        <w:t xml:space="preserve">David's mentor matching breaks completely: The system needs a senior consultant who is available, has the right skills, and won't exceed 85% allocation. With the acquisition, potential mentors exist across two companies with unverified skill levels and unknown commitments. The system cannot generate a trustworthy pairing.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Impact on David &amp; Robert</w:t>
            </w:r>
          </w:p>
          <w:p>
            <w:pPr>
              <w:spacing w:before="0" w:after="0"/>
            </w:pPr>
            <w:r>
              <w:rPr>
                <w:rFonts w:ascii="Arial" w:cs="Arial" w:eastAsia="Arial" w:hAnsi="Arial"/>
                <w:i/>
                <w:iCs/>
                <w:sz w:val="22"/>
                <w:szCs w:val="22"/>
              </w:rPr>
              <w:t xml:space="preserve">Junior consultant development stalls because mentor matching cannot be trusted. Training budget planning becomes guesswork because the skill gap baseline is incomplete.</w:t>
            </w:r>
          </w:p>
        </w:tc>
      </w:tr>
    </w:tbl>
    <w:p>
      <w:pPr>
        <w:spacing w:before="160" w:after="0"/>
      </w:pPr>
      <w:r>
        <w:t xml:space="preserve"/>
      </w:r>
    </w:p>
    <w:p>
      <w:pPr>
        <w:spacing w:before="280" w:after="100"/>
      </w:pPr>
      <w:r>
        <w:rPr>
          <w:rFonts w:ascii="Arial" w:cs="Arial" w:eastAsia="Arial" w:hAnsi="Arial"/>
          <w:b/>
          <w:bCs/>
          <w:color w:val="2E75B6"/>
          <w:sz w:val="26"/>
          <w:szCs w:val="26"/>
        </w:rPr>
        <w:t xml:space="preserve">2.4 n8n Workflow Breakdown</w:t>
      </w:r>
    </w:p>
    <w:p>
      <w:pPr>
        <w:spacing w:before="60" w:after="60"/>
      </w:pPr>
      <w:r>
        <w:rPr>
          <w:rFonts w:ascii="Arial" w:cs="Arial" w:eastAsia="Arial" w:hAnsi="Arial"/>
          <w:sz w:val="22"/>
          <w:szCs w:val="22"/>
        </w:rPr>
        <w:t xml:space="preserve">The Day 1 n8n workflow breaks in three distinct ways: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n8n was only credentialed into SilverTrust’s systems. It has no connection to Hammer’s HR database, project management tools, or calendars.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Blind to 75% of the new consultant pool.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Quality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 if n8n could read both systems, the input it feeds to Jira and the LLM is inconsistent and unstandardized.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Automation produces unreliable outputs that cannot be acted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Platform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workflow creates Jira issues. The project is migrating away from Jira. The workflow needs to be completely rebuilt for the new platform’s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current automation stops working at migration.</w:t>
            </w:r>
          </w:p>
        </w:tc>
      </w:tr>
    </w:tbl>
    <w:p>
      <w:pPr>
        <w:spacing w:before="200" w:after="0"/>
      </w:pPr>
      <w:r>
        <w:t xml:space="preserve"/>
      </w:r>
    </w:p>
    <w:p>
      <w:pPr>
        <w:spacing w:before="360" w:after="120"/>
      </w:pPr>
      <w:r>
        <w:rPr>
          <w:rFonts w:ascii="Arial" w:cs="Arial" w:eastAsia="Arial" w:hAnsi="Arial"/>
          <w:b/>
          <w:bCs/>
          <w:color w:val="1F4E79"/>
          <w:sz w:val="36"/>
          <w:szCs w:val="36"/>
        </w:rPr>
        <w:t xml:space="preserve">Part 3: Stakeholder Impact</w:t>
      </w:r>
    </w:p>
    <w:p>
      <w:pPr>
        <w:spacing w:before="60" w:after="60"/>
      </w:pPr>
      <w:r>
        <w:rPr>
          <w:rFonts w:ascii="Arial" w:cs="Arial" w:eastAsia="Arial" w:hAnsi="Arial"/>
          <w:sz w:val="22"/>
          <w:szCs w:val="22"/>
        </w:rPr>
        <w:t xml:space="preserve">The acquisition does not just break technical systems — it affects real people with real concerns. This section covers both the operational impact per stakeholder and the human dimension that the technical analysis alone misses.</w:t>
      </w:r>
    </w:p>
    <w:p>
      <w:pPr>
        <w:spacing w:before="100" w:after="0"/>
      </w:pPr>
      <w:r>
        <w:t xml:space="preserve"/>
      </w:r>
    </w:p>
    <w:p>
      <w:pPr>
        <w:spacing w:before="280" w:after="100"/>
      </w:pPr>
      <w:r>
        <w:rPr>
          <w:rFonts w:ascii="Arial" w:cs="Arial" w:eastAsia="Arial" w:hAnsi="Arial"/>
          <w:b/>
          <w:bCs/>
          <w:color w:val="2E75B6"/>
          <w:sz w:val="26"/>
          <w:szCs w:val="26"/>
        </w:rPr>
        <w:t xml:space="preserve">3.1 Per-Stakeholder Impact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Stakeholder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Original Pain Point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Acquisition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Robert (VP)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Gut-feeling capacity decisions taking 2-3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 has 105 consultants but reliable data on only 30. Capacity decisions are even less trustworthy than before the system was built.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Michelle (PM)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Manual spreadsheet allocation taking days to plan.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Composition suggestions become unreliable due to skills mismatch. Risk of reverting fully to manual 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Keisha (Sr. Consultant)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Over-allocation and burnout from being on every project.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Over-allocation flagging now needs to work across two companies. Her workload visibility is broken.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David (Jr. Consultant)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 mentoring time, thrown into projects without guidance.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Mentor matching breaks completely. Growth assignments cannot be reliably generated without standardized skill profiles.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Hammer Consultants (new)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Unknown — not interviewed.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visibility into their concerns, culture, or working preferences. Represent a significant unknown.</w:t>
            </w:r>
          </w:p>
        </w:tc>
      </w:tr>
    </w:tbl>
    <w:p>
      <w:pPr>
        <w:spacing w:before="160" w:after="0"/>
      </w:pPr>
      <w:r>
        <w:t xml:space="preserve"/>
      </w:r>
    </w:p>
    <w:p>
      <w:pPr>
        <w:spacing w:before="280" w:after="100"/>
      </w:pPr>
      <w:r>
        <w:rPr>
          <w:rFonts w:ascii="Arial" w:cs="Arial" w:eastAsia="Arial" w:hAnsi="Arial"/>
          <w:b/>
          <w:bCs/>
          <w:color w:val="2E75B6"/>
          <w:sz w:val="26"/>
          <w:szCs w:val="26"/>
        </w:rPr>
        <w:t xml:space="preserve">3.2 The Human Dimension — Job Security and Transparency</w:t>
      </w:r>
    </w:p>
    <w:p>
      <w:pPr>
        <w:spacing w:before="60" w:after="60"/>
      </w:pPr>
      <w:r>
        <w:rPr>
          <w:rFonts w:ascii="Arial" w:cs="Arial" w:eastAsia="Arial" w:hAnsi="Arial"/>
          <w:sz w:val="22"/>
          <w:szCs w:val="22"/>
        </w:rPr>
        <w:t xml:space="preserve">Beyond the operational impacts, the acquisition introduces a concern that does not appear in any technical analysis: people are anxious about their jobs.</w:t>
      </w:r>
    </w:p>
    <w:p>
      <w:pPr>
        <w:spacing w:before="80" w:after="0"/>
      </w:pPr>
      <w:r>
        <w:t xml:space="preserve"/>
      </w:r>
    </w:p>
    <w:p>
      <w:pPr>
        <w:spacing w:before="60" w:after="60"/>
      </w:pPr>
      <w:r>
        <w:rPr>
          <w:rFonts w:ascii="Arial" w:cs="Arial" w:eastAsia="Arial" w:hAnsi="Arial"/>
          <w:sz w:val="22"/>
          <w:szCs w:val="22"/>
        </w:rPr>
        <w:t xml:space="preserve">An automated allocation system recommending people to projects across two companies — without explanation — risks making people feel dehumanized, manipulated, and left aside. Imagine Keisha being recommended for a Hammer project with no context, no explanation, and no input. The system that was supposed to help her feels like it is deciding her fate.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Critical Design Requirement</w:t>
            </w:r>
          </w:p>
          <w:p>
            <w:pPr>
              <w:spacing w:before="0" w:after="0"/>
            </w:pPr>
            <w:r>
              <w:rPr>
                <w:rFonts w:ascii="Arial" w:cs="Arial" w:eastAsia="Arial" w:hAnsi="Arial"/>
                <w:i/>
                <w:iCs/>
                <w:sz w:val="22"/>
                <w:szCs w:val="22"/>
              </w:rPr>
              <w:t xml:space="preserve">The system must show transparency — not just who is recommended for a role, but why. Every recommendation needs to surface the reasoning behind it (skill match %, availability, development goal alignment) so people feel informed rather than processed.</w:t>
            </w:r>
          </w:p>
        </w:tc>
      </w:tr>
    </w:tbl>
    <w:p>
      <w:pPr>
        <w:spacing w:before="160" w:after="0"/>
      </w:pPr>
      <w:r>
        <w:t xml:space="preserve"/>
      </w:r>
    </w:p>
    <w:p>
      <w:pPr>
        <w:spacing w:before="360" w:after="120"/>
      </w:pPr>
      <w:r>
        <w:rPr>
          <w:rFonts w:ascii="Arial" w:cs="Arial" w:eastAsia="Arial" w:hAnsi="Arial"/>
          <w:b/>
          <w:bCs/>
          <w:color w:val="1F4E79"/>
          <w:sz w:val="36"/>
          <w:szCs w:val="36"/>
        </w:rPr>
        <w:t xml:space="preserve">Part 4: Risks and Mitigation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Human Resistance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People across both companies are stressed and uncertain. If the allocation system makes opaque decisions during a merger, it will damage trust and face active resistance from the people it depends 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Transparent communication with all stakeholders before, during, and after implementation. Involve representatives from both companies in design decisions. Show people why the system makes the recommendations it does.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Loss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During migration from the current platform to the new one, stories, acceptance criteria, skill profiles, and allocation history could be lost or corrupted.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Generate full backups of both HR systems and the current project management data before any migration begins. Test the migration process on a subset before running it in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Contamination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Mixing unstandardized data from two HR systems produces allocation recommendations that look valid but are based on mismatched information — potentially worse than no data because it creates false confidence.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a unified skills taxonomy as a joint exercise with stakeholders from both companies. Agree on common definitions for skill levels, seniority, and allocation measurement before connecting the systems. Use years of experience + specific skill assessments + role definitions as the standardization baseline.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n8n Blind Spots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Current automation has no access to Hammer’s systems. Any workflow running before full integration will produce incomplete outputs.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Clearly mark all outputs as ‘SilverTrust data only’ until integration is complete. Rebuild n8n workflows in phases: first establish Hammer API access, then standardize data, then rebuild allocation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Matrix Reporting Confusion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Consultants reporting to SilverTrust managers but working on Hammer projects creates approval ambiguity. The system may recommend someone whose primary manager hasn’t been consulted.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 a dual-approval workflow: PM recommends, both managers approve before allocation is confirmed. Build override capability with mandatory written justification.</w:t>
            </w:r>
          </w:p>
        </w:tc>
      </w:tr>
    </w:tbl>
    <w:p>
      <w:pPr>
        <w:spacing w:before="200" w:after="0"/>
      </w:pPr>
      <w:r>
        <w:t xml:space="preserve"/>
      </w:r>
    </w:p>
    <w:p>
      <w:pPr>
        <w:pBdr>
          <w:bottom w:val="single" w:color="2E75B6" w:sz="6" w:space="1"/>
        </w:pBdr>
        <w:spacing w:before="100" w:after="100"/>
      </w:pPr>
      <w:r>
        <w:t xml:space="preserve"/>
      </w:r>
    </w:p>
    <w:p>
      <w:pPr>
        <w:spacing w:before="100" w:after="0"/>
      </w:pPr>
      <w:r>
        <w:t xml:space="preserve"/>
      </w:r>
    </w:p>
    <w:p>
      <w:pPr>
        <w:jc w:val="center"/>
      </w:pPr>
      <w:r>
        <w:rPr>
          <w:rFonts w:ascii="Arial" w:cs="Arial" w:eastAsia="Arial" w:hAnsi="Arial"/>
          <w:i/>
          <w:iCs/>
          <w:color w:val="555555"/>
          <w:sz w:val="24"/>
          <w:szCs w:val="24"/>
        </w:rPr>
        <w:t xml:space="preserve">The acquisition doesn’t break the vision — it scales it.</w:t>
      </w:r>
    </w:p>
    <w:p>
      <w:pPr>
        <w:spacing w:before="60" w:after="0"/>
        <w:jc w:val="center"/>
      </w:pPr>
      <w:r>
        <w:rPr>
          <w:rFonts w:ascii="Arial" w:cs="Arial" w:eastAsia="Arial" w:hAnsi="Arial"/>
          <w:b/>
          <w:bCs/>
          <w:color w:val="1F4E79"/>
          <w:sz w:val="24"/>
          <w:szCs w:val="24"/>
        </w:rPr>
        <w:t xml:space="preserve">The Smart Resource Scheduler was built for 30 people. Now it needs to work for 105.</w:t>
      </w:r>
    </w:p>
    <w:p>
      <w:pPr>
        <w:spacing w:before="1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Smart Resource Scheduler — Restructuring Impact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2026-03-13T16:45:13.820Z</dcterms:created>
  <dcterms:modified xsi:type="dcterms:W3CDTF">2026-03-13T16:45:13.821Z</dcterms:modified>
</cp:coreProperties>
</file>

<file path=docProps/custom.xml><?xml version="1.0" encoding="utf-8"?>
<Properties xmlns="http://schemas.openxmlformats.org/officeDocument/2006/custom-properties" xmlns:vt="http://schemas.openxmlformats.org/officeDocument/2006/docPropsVTypes"/>
</file>