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9uadptue615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Indeksowanie wierszy w ramce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Jeżeli przed przecinkiem lub po przecinki nie będzie żadnych wartości to wybrane będą wszystkie elementy w wierszu / kolumnie.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Jeżeli przed przecinkiem lub po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przecinku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nie będzie żadnych wartości to wybrane będą wszystkie elementy w wierszu / kolumnie.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ojkwlhoil65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Indeksowanie wierszy w ramce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Zauważmy, że w tym przykładzie znak - przed funkcją c() tworzącą wektor, powoduje zmianę znku wszystkich elementów wektora.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Zauważmy, że w tym przykładzie znak - przed funkcją c() tworzącą wektor, powoduje zmianę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znaku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wszystkich elementów wektora.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e4q0bfhfp60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Indeksowanie kolumn w ramce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Aby wybrać więcej niż jedna kolumnę, podobnie jak w przypadku wierszy i wektorów można wykorzystać funkcję c().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Aby wybrać więcej niż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jedną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kolumnę, podobnie jak w przypadku wierszy i wektorów można wykorzystać funkcję c().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7y43q9d2yfq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Wybieranie podramki z ramki danych nazwami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Jeżeli wiersze mają sensowne nazwy,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to bardzo ułatwia to 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odwoływanie się do wierszy.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kkaseo3vmgi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slajd: Sortowanie przez indeksowanie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Możemy wykorzystać ten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wynikik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, aby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Możemy wykorzystać ten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wynik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, aby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