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slajd: Dlaczego 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file:///Users/kasdum/Desktop/sezon1/02_introR.html#(5)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Panie Przemku,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bardzo fajny slajd, tylko ja bym “poszła” troszkę dalej. Cała PB ma wykupioną licencję na Statisticę, SPSS-a wykupił UwB, nie wiem co używa UMB.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dlatego dodałabym Statisticę i dodatkowo link do aktualnego trendu na Google, aby dociekliwi mogli sami porównać sobie różne opcje programów.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106.1417322834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6.141732283464"/>
        <w:tblGridChange w:id="0">
          <w:tblGrid>
            <w:gridCol w:w="11106.14173228346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5020221" cy="2605088"/>
                  <wp:effectExtent b="0" l="0" r="0" t="0"/>
                  <wp:docPr descr="Zrzut ekranu 2015-03-22 o 14.31.04.png" id="1" name="image01.png"/>
                  <a:graphic>
                    <a:graphicData uri="http://schemas.openxmlformats.org/drawingml/2006/picture">
                      <pic:pic>
                        <pic:nvPicPr>
                          <pic:cNvPr descr="Zrzut ekranu 2015-03-22 o 14.31.04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221" cy="2605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Sprawdź sam:</w:t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http://www.google.pl/trends/explore#q=%2Fm%2F018fh1%2C%20%2Fm%2F0212jm%2C%20%2Fm%2F02l0yf8%2C%20%2Fm%2F05ymvd%2C%20%2Fm%2F06ks5r&amp;cmpt=q&amp;tz=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lj5tvdwx1qs1" w:id="0"/>
      <w:bookmarkEnd w:id="0"/>
      <w:r w:rsidDel="00000000" w:rsidR="00000000" w:rsidRPr="00000000">
        <w:rPr>
          <w:rtl w:val="0"/>
        </w:rPr>
        <w:t xml:space="preserve">slajd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Czy warto uczyć się programować, czy nie lepiej wybrać klikanie?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Dla osób przyzwyczajonych do klikanych narzędzi oznacza to trudne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początku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highlight w:val="white"/>
          <w:rtl w:val="0"/>
        </w:rPr>
        <w:t xml:space="preserve">początki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??)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.0" w:w="12240.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google.pl/trends/explore#q=%2Fm%2F018fh1%2C%20%2Fm%2F0212jm%2C%20%2Fm%2F02l0yf8%2C%20%2Fm%2F05ymvd%2C%20%2Fm%2F06ks5r&amp;cmpt=q&amp;tz=" TargetMode="External"/><Relationship Id="rId5" Type="http://schemas.openxmlformats.org/officeDocument/2006/relationships/image" Target="media/image01.png"/></Relationships>
</file>