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pStyle w:val="BlockText"/>
      </w:pPr>
      <w:r>
        <w:t xml:space="preserve">Pracovný draft verejného appendix balíka pre Word. Zámerne obsahuje len public-safe verzie príloh a nepreberá interné runtime pravidlá, plný seed corpus ani plné transkripty.</w:t>
      </w:r>
    </w:p>
    <w:bookmarkStart w:id="15" w:name="príloha-a"/>
    <w:p>
      <w:pPr>
        <w:pStyle w:val="Heading1"/>
      </w:pPr>
      <w:r>
        <w:t xml:space="preserve">Príloha A</w:t>
      </w:r>
    </w:p>
    <w:p>
      <w:pPr>
        <w:pStyle w:val="FirstParagraph"/>
      </w:pPr>
      <w:r>
        <w:rPr>
          <w:b/>
          <w:bCs/>
        </w:rPr>
        <w:t xml:space="preserve">Finálny ratingový dotazník použitý pri expertnom hodnotení transkriptov</w:t>
      </w:r>
    </w:p>
    <w:p>
      <w:pPr>
        <w:pStyle w:val="BodyText"/>
      </w:pPr>
      <w:r>
        <w:t xml:space="preserve">Táto príloha uvádza public-safe verziu autorského ratingového nástroja. V prílohe je ponechaná obsahová logika položiek a blokov, ale nie technická implementácia v internom survey engine.</w:t>
      </w:r>
    </w:p>
    <w:bookmarkStart w:id="9" w:name="a.1-inštrukčný-rámec-pre-hodnotiteľa"/>
    <w:p>
      <w:pPr>
        <w:pStyle w:val="Heading2"/>
      </w:pPr>
      <w:r>
        <w:t xml:space="preserve">A.1 Inštrukčný rámec pre hodnotiteľa</w:t>
      </w:r>
    </w:p>
    <w:p>
      <w:pPr>
        <w:pStyle w:val="FirstParagraph"/>
      </w:pPr>
      <w:r>
        <w:t xml:space="preserve">Hodnotiteľ posudzuje každý transkript ako celok. Nehodnotí len prítomnosť jednotlivých symptómov, ale aj to, či rozhovor pôsobí klinicky vierohodne, vnútorne konzistentne, prirodzene a použiteľne pre tréningový alebo výučbový účel.</w:t>
      </w:r>
    </w:p>
    <w:p>
      <w:pPr>
        <w:pStyle w:val="BodyText"/>
      </w:pPr>
      <w:r>
        <w:t xml:space="preserve">Hodnotenie je rozdelené do troch blokov:</w:t>
      </w:r>
    </w:p>
    <w:p>
      <w:pPr>
        <w:pStyle w:val="Compact"/>
        <w:numPr>
          <w:ilvl w:val="0"/>
          <w:numId w:val="1001"/>
        </w:numPr>
      </w:pPr>
      <w:r>
        <w:t xml:space="preserve">globálne hodnotenie kvality rozhovoru,</w:t>
      </w:r>
    </w:p>
    <w:p>
      <w:pPr>
        <w:pStyle w:val="Compact"/>
        <w:numPr>
          <w:ilvl w:val="0"/>
          <w:numId w:val="1001"/>
        </w:numPr>
      </w:pPr>
      <w:r>
        <w:t xml:space="preserve">odhad celkovej závažnosti a funkčného dopadu,</w:t>
      </w:r>
    </w:p>
    <w:p>
      <w:pPr>
        <w:pStyle w:val="Compact"/>
        <w:numPr>
          <w:ilvl w:val="0"/>
          <w:numId w:val="1001"/>
        </w:numPr>
      </w:pPr>
      <w:r>
        <w:t xml:space="preserve">hodnotenie prítomnosti problematických prvkov a varovných signálov.</w:t>
      </w:r>
    </w:p>
    <w:p>
      <w:pPr>
        <w:pStyle w:val="FirstParagraph"/>
      </w:pPr>
      <w:r>
        <w:t xml:space="preserve">Položky</w:t>
      </w:r>
      <w:r>
        <w:t xml:space="preserve"> </w:t>
      </w:r>
      <w:r>
        <w:rPr>
          <w:rStyle w:val="VerbatimChar"/>
        </w:rPr>
        <w:t xml:space="preserve">G1</w:t>
      </w:r>
      <w:r>
        <w:t xml:space="preserve"> </w:t>
      </w:r>
      <w:r>
        <w:t xml:space="preserve">až</w:t>
      </w:r>
      <w:r>
        <w:t xml:space="preserve"> </w:t>
      </w:r>
      <w:r>
        <w:rPr>
          <w:rStyle w:val="VerbatimChar"/>
        </w:rPr>
        <w:t xml:space="preserve">G5</w:t>
      </w:r>
      <w:r>
        <w:t xml:space="preserve">,</w:t>
      </w:r>
      <w:r>
        <w:t xml:space="preserve"> </w:t>
      </w: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,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až</w:t>
      </w:r>
      <w:r>
        <w:t xml:space="preserve"> </w:t>
      </w:r>
      <w:r>
        <w:rPr>
          <w:rStyle w:val="VerbatimChar"/>
        </w:rPr>
        <w:t xml:space="preserve">R5</w:t>
      </w:r>
      <w:r>
        <w:t xml:space="preserve"> </w:t>
      </w:r>
      <w:r>
        <w:t xml:space="preserve">a položka istoty odhadu pôvodu rozhovoru sú hodnotené na 5-bodovej škále. Položka odhadovaného pôvodu rozhovoru je nominálna a komentár je otvorená textová odpoveď.</w:t>
      </w:r>
    </w:p>
    <w:bookmarkEnd w:id="9"/>
    <w:bookmarkStart w:id="10" w:name="Xa176f839c7f49f8e96d1c36117f6b17695d3cac"/>
    <w:p>
      <w:pPr>
        <w:pStyle w:val="Heading2"/>
      </w:pPr>
      <w:r>
        <w:t xml:space="preserve">A.2 Blok G: Globálne hodnotenie kvality rozhovoru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48"/>
        <w:gridCol w:w="2648"/>
        <w:gridCol w:w="2647"/>
      </w:tblGrid>
      <w:tr>
        <w:trPr>
          <w:tblHeader w:val="on"/>
        </w:trPr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Kód</w:t>
            </w:r>
          </w:p>
        </w:tc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Položka</w:t>
            </w:r>
          </w:p>
        </w:tc>
        <w:tc>
          <w:tcPr>
            <w:tcW w:w="2647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Typ odpovede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G1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Klinická vierohodnosť rozhovoru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G2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Prirodzenosť jazyka a štýlu odpovedí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G3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Vnútorná konzistentnosť rozhovoru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G4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Súlad rozhovoru s obrazom depresívnej symptomatiky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G5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Použiteľnosť rozhovoru na tréningové alebo výučbové účely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</w:tbl>
    <w:bookmarkEnd w:id="10"/>
    <w:bookmarkStart w:id="11" w:name="Xd47b6b7fee4f054ae9b41ff3630d7fb77a90e9f"/>
    <w:p>
      <w:pPr>
        <w:pStyle w:val="Heading2"/>
      </w:pPr>
      <w:r>
        <w:t xml:space="preserve">A.3 Blok S: Globálny odhad závažnosti a funkčného dopadu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48"/>
        <w:gridCol w:w="2648"/>
        <w:gridCol w:w="2647"/>
      </w:tblGrid>
      <w:tr>
        <w:trPr>
          <w:tblHeader w:val="on"/>
        </w:trPr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Kód</w:t>
            </w:r>
          </w:p>
        </w:tc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Položka</w:t>
            </w:r>
          </w:p>
        </w:tc>
        <w:tc>
          <w:tcPr>
            <w:tcW w:w="2647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Typ odpovede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S1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Ľudský odhad celkovej závažnosti depresívnej symptomatiky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S2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Ľudský odhad funkčného dopadu na bežné fungovanie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</w:tbl>
    <w:bookmarkEnd w:id="11"/>
    <w:bookmarkStart w:id="12" w:name="X12a0afcc59860b8fa199d43651c57d1e924ecb6"/>
    <w:p>
      <w:pPr>
        <w:pStyle w:val="Heading2"/>
      </w:pPr>
      <w:r>
        <w:t xml:space="preserve">A.4 Blok R: Problematické prvky a varovné signály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48"/>
        <w:gridCol w:w="2648"/>
        <w:gridCol w:w="2647"/>
      </w:tblGrid>
      <w:tr>
        <w:trPr>
          <w:tblHeader w:val="on"/>
        </w:trPr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Kód</w:t>
            </w:r>
          </w:p>
        </w:tc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Položka</w:t>
            </w:r>
          </w:p>
        </w:tc>
        <w:tc>
          <w:tcPr>
            <w:tcW w:w="2647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Typ odpovede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R1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Prítomnosť vnútorných kontradikcií v rozhovore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R2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Klišé alebo šablónovité odpovede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R3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Nesúlad medzi kontextom a symptomatikou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R4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Podozrenie na inú primárnu psychopatológiu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R5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Neprimeraná dramatizácia alebo neprirodzená expresivita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</w:tbl>
    <w:bookmarkEnd w:id="12"/>
    <w:bookmarkStart w:id="13" w:name="a.5-doplnkové-položky"/>
    <w:p>
      <w:pPr>
        <w:pStyle w:val="Heading2"/>
      </w:pPr>
      <w:r>
        <w:t xml:space="preserve">A.5 Doplnkové položky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48"/>
        <w:gridCol w:w="2648"/>
        <w:gridCol w:w="2647"/>
      </w:tblGrid>
      <w:tr>
        <w:trPr>
          <w:tblHeader w:val="on"/>
        </w:trPr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Premenná</w:t>
            </w:r>
          </w:p>
        </w:tc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Obsah</w:t>
            </w:r>
          </w:p>
        </w:tc>
        <w:tc>
          <w:tcPr>
            <w:tcW w:w="2647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Typ odpovede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guessed_origin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Odhad pôvodu rozhovoru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nominálna položka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Kategórie: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AI-generovaný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ľudsky simulovaný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reálny participant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neviem odhadnúť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guess_confidence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Istota odhadu pôvodu rozhovoru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5-bodová škála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comment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Otvorený komentár hodnotiteľa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voľný text</w:t>
            </w:r>
          </w:p>
        </w:tc>
      </w:tr>
    </w:tbl>
    <w:bookmarkEnd w:id="13"/>
    <w:bookmarkStart w:id="14" w:name="a.6-poznámka-k-public-safe-verzii"/>
    <w:p>
      <w:pPr>
        <w:pStyle w:val="Heading2"/>
      </w:pPr>
      <w:r>
        <w:t xml:space="preserve">A.6 Poznámka k public-safe verzii</w:t>
      </w:r>
    </w:p>
    <w:p>
      <w:pPr>
        <w:pStyle w:val="FirstParagraph"/>
      </w:pPr>
      <w:r>
        <w:t xml:space="preserve">Do verejnej verzie prílohy nepatria:</w:t>
      </w:r>
    </w:p>
    <w:p>
      <w:pPr>
        <w:pStyle w:val="Compact"/>
        <w:numPr>
          <w:ilvl w:val="0"/>
          <w:numId w:val="1002"/>
        </w:numPr>
      </w:pPr>
      <w:r>
        <w:t xml:space="preserve">screenshoty interného survey engine,</w:t>
      </w:r>
    </w:p>
    <w:p>
      <w:pPr>
        <w:pStyle w:val="Compact"/>
        <w:numPr>
          <w:ilvl w:val="0"/>
          <w:numId w:val="1002"/>
        </w:numPr>
      </w:pPr>
      <w:r>
        <w:t xml:space="preserve">technické exportné názvy polí nad rámec potrebných kódov,</w:t>
      </w:r>
    </w:p>
    <w:p>
      <w:pPr>
        <w:pStyle w:val="Compact"/>
        <w:numPr>
          <w:ilvl w:val="0"/>
          <w:numId w:val="1002"/>
        </w:numPr>
      </w:pPr>
      <w:r>
        <w:t xml:space="preserve">interné workflow poznámky pre randomizáciu alebo distribúciu transkriptov.</w:t>
      </w:r>
    </w:p>
    <w:bookmarkEnd w:id="14"/>
    <w:bookmarkEnd w:id="15"/>
    <w:bookmarkStart w:id="21" w:name="príloha-b"/>
    <w:p>
      <w:pPr>
        <w:pStyle w:val="Heading1"/>
      </w:pPr>
      <w:r>
        <w:t xml:space="preserve">Príloha B</w:t>
      </w:r>
    </w:p>
    <w:p>
      <w:pPr>
        <w:pStyle w:val="FirstParagraph"/>
      </w:pPr>
      <w:r>
        <w:rPr>
          <w:b/>
          <w:bCs/>
        </w:rPr>
        <w:t xml:space="preserve">Operacionalizačná tabuľka premenných, kompozitov a stručný preklad zmiešaných modelov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89"/>
        <w:gridCol w:w="1589"/>
        <w:gridCol w:w="1589"/>
        <w:gridCol w:w="1589"/>
        <w:gridCol w:w="1587"/>
      </w:tblGrid>
      <w:tr>
        <w:trPr>
          <w:tblHeader w:val="on"/>
        </w:trPr>
        <w:tc>
          <w:tcPr>
            <w:tcW w:w="1589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Blok</w:t>
            </w:r>
          </w:p>
        </w:tc>
        <w:tc>
          <w:tcPr>
            <w:tcW w:w="1589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Premenné</w:t>
            </w:r>
          </w:p>
        </w:tc>
        <w:tc>
          <w:tcPr>
            <w:tcW w:w="1589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Škála</w:t>
            </w:r>
          </w:p>
        </w:tc>
        <w:tc>
          <w:tcPr>
            <w:tcW w:w="1589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Význam</w:t>
            </w:r>
          </w:p>
        </w:tc>
        <w:tc>
          <w:tcPr>
            <w:tcW w:w="1587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Analytické použitie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Nezávislé premenné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prítomnosť štruktúrujúceho klinického usmernenia; štýl odpovedania simulovaného pacienta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binárna; kategóriálna s 3 úrovňami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experimentálne manipulované vlastnosti generovania rozhovoru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hlavné fixné efekty v mixed modeloch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Blokovacie a náhodné faktory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seed_id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rater_id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identifikátory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zdroj variability medzi seedmi a medzi hodnotiteľmi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random intercepts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Primárne outcome-y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index klinickej vierohodnosti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ordinálne položky; kompozit približne intervalový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globálna kvalita rozhovoru, prirodzenosť a tréningová použiteľnosť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deskriptíva, ordinal mixed models, lineárne zmiešané modely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Sekundárne outcome-y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priemerná absolútna chyba voči seedu,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S2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transcript-level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0-3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ľudské ratingy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1-5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zhoda rozhovoru s cieľovým symptomatickým profilom a samostatný ľudský odhad závažnosti a funkčného dopadu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transcript-level deskriptíva a modely; doplnkovo ordinal mixed models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Voliteľné sensitivity outcome-y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chyba odhadu závažnosti, chyba odhadu funkčného dopadu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odvodené numerické error skóre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doplnkové porovnanie ľudského odhadu s seed kotvami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supplement alebo secondary analysis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QC a defektové outcome-y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index defektov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ordinálne položky; kompozit približne intervalový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kontradikcie, klišé, nesúlad, iná psychopatológia, dramatizácia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deskriptíva, ordinal mixed models, lineárne zmiešané modely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Exploratórne outcome-y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odhad pôvodu rozhovoru, istota odhadu, komentár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nominálna; ordinálna; text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percepcia pôvodu rozhovoru a kvalitatívna spätná väzba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frekvencie, doplnkové modely, tematické kódovanie</w:t>
            </w:r>
          </w:p>
        </w:tc>
      </w:tr>
    </w:tbl>
    <w:bookmarkStart w:id="16" w:name="Xbba61e6340df925502e4c4982519edf9e1fe6ad"/>
    <w:p>
      <w:pPr>
        <w:pStyle w:val="Heading2"/>
      </w:pPr>
      <w:r>
        <w:t xml:space="preserve">B.1 Hlavné odvodené ukazovatele a ich konštrukcia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89"/>
        <w:gridCol w:w="1589"/>
        <w:gridCol w:w="1589"/>
        <w:gridCol w:w="1589"/>
        <w:gridCol w:w="1587"/>
      </w:tblGrid>
      <w:tr>
        <w:trPr>
          <w:tblHeader w:val="on"/>
        </w:trPr>
        <w:tc>
          <w:tcPr>
            <w:tcW w:w="1589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Ukazovateľ</w:t>
            </w:r>
          </w:p>
        </w:tc>
        <w:tc>
          <w:tcPr>
            <w:tcW w:w="1589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Zdrojové premenné</w:t>
            </w:r>
          </w:p>
        </w:tc>
        <w:tc>
          <w:tcPr>
            <w:tcW w:w="1589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Výpočet</w:t>
            </w:r>
          </w:p>
        </w:tc>
        <w:tc>
          <w:tcPr>
            <w:tcW w:w="1589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Reportovaná úroveň</w:t>
            </w:r>
          </w:p>
        </w:tc>
        <w:tc>
          <w:tcPr>
            <w:tcW w:w="1587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Interpretácia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Index klinickej vierohodnosti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G4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mean(G1, G3, G4)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rating-level kompozit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vyššia hodnota znamená vyššiu klinickú vierohodnosť rozhovoru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Index defektov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R5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mean(R1, R2, R3, R4, R5)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rating-level kompozit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vyššia hodnota znamená vyšší výskyt defektov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Priemerná absolútna chyba v symptomatických doménach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A1_anchor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A9_anchor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mean(abs(Ai - Ai_anchor))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i = 1...9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transcript-level ukazovateľ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nižšia hodnota znamená vyššiu zhodu so seed profilom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Chyba odhadu závažnosti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S1_anchor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najprv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abs(S1 - S1_anchor)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 jednotlivom hodnotení, potom priemer za prepis rozhovoru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transcript-level report z rating-level error skóre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nižšia hodnota znamená vyššiu zhodu so seed kotvou závažnosti</w:t>
            </w:r>
          </w:p>
        </w:tc>
      </w:tr>
      <w:tr>
        <w:tc>
          <w:tcPr>
            <w:tcW w:w="1589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Chyba odhadu funkčného dopadu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S2_anchor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najprv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abs(S2 - S2_anchor)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 jednotlivom hodnotení, potom priemer za prepis rozhovoru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transcript-level report z rating-level error skóre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nižšia hodnota znamená vyššiu zhodu so seed kotvou funkčného dopadu</w:t>
            </w:r>
          </w:p>
        </w:tc>
      </w:tr>
    </w:tbl>
    <w:p>
      <w:pPr>
        <w:pStyle w:val="BodyText"/>
      </w:pPr>
      <w:r>
        <w:t xml:space="preserve">Poznámka. Položky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ako samostatné ľudské ratingy ostávajú v hlavnej analytickej vetve ordinálnymi rating-level premennými. Na transcript-level sa presúvajú iba ich odvodené chybové verzie, aby anchor-fidelity vetva nevážila prepisy rozhovorov podľa počtu dostupných hodnotení. Položky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t xml:space="preserve">až</w:t>
      </w:r>
      <w:r>
        <w:t xml:space="preserve"> </w:t>
      </w:r>
      <w:r>
        <w:rPr>
          <w:rStyle w:val="VerbatimChar"/>
        </w:rPr>
        <w:t xml:space="preserve">A9</w:t>
      </w:r>
      <w:r>
        <w:t xml:space="preserve"> </w:t>
      </w:r>
      <w:r>
        <w:t xml:space="preserve">sú už od začiatku transcript-level metadata, nie opakované ľudské ratingy.</w:t>
      </w:r>
    </w:p>
    <w:bookmarkEnd w:id="16"/>
    <w:bookmarkStart w:id="17" w:name="X1e6b9b9943e9ccd5b690037388b959f5cf5fe4a"/>
    <w:p>
      <w:pPr>
        <w:pStyle w:val="Heading2"/>
      </w:pPr>
      <w:r>
        <w:t xml:space="preserve">B.2 Fixné a náhodné efekty v hlavných modeloch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48"/>
        <w:gridCol w:w="2648"/>
        <w:gridCol w:w="2647"/>
      </w:tblGrid>
      <w:tr>
        <w:trPr>
          <w:tblHeader w:val="on"/>
        </w:trPr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Prvok modelu</w:t>
            </w:r>
          </w:p>
        </w:tc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Typ</w:t>
            </w:r>
          </w:p>
        </w:tc>
        <w:tc>
          <w:tcPr>
            <w:tcW w:w="2647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Význam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guardrail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fixný efekt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rozdiel medzi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teda medzi podmienkou bez a so štruktúrujúcim klinickým usmernením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profile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fixný efekt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rozdiel medzi štýlmi odpovedania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guardrail × profile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fixná interakcia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ukazuje, či sa efekt usmernenia mení podľa profilu odpovedania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seed_id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náhodný intercept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zohľadňuje, že niektoré východiskové scenáre môžu byť celkovo ľahšie alebo ťažšie hodnotené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rater_id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náhodný intercept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zohľadňuje, že niektorí hodnotitelia môžu byť prísnejší alebo miernejší</w:t>
            </w:r>
          </w:p>
        </w:tc>
      </w:tr>
    </w:tbl>
    <w:bookmarkEnd w:id="17"/>
    <w:bookmarkStart w:id="18" w:name="b.3-základné-modelové-rovnice"/>
    <w:p>
      <w:pPr>
        <w:pStyle w:val="Heading2"/>
      </w:pPr>
      <w:r>
        <w:t xml:space="preserve">B.3 Základné modelové rovnice</w:t>
      </w:r>
    </w:p>
    <w:p>
      <w:pPr>
        <w:pStyle w:val="FirstParagraph"/>
      </w:pPr>
      <w:r>
        <w:t xml:space="preserve">Pri výstupných ukazovateľoch na úrovni jednotlivých hodnotení, najmä pri indexe klinickej vierohodnosti a indexe defektov, sa používa tento základný tvar lineárneho zmiešaného modelu:</w:t>
      </w:r>
    </w:p>
    <w:p>
      <w:pPr>
        <w:pStyle w:val="BodyText"/>
      </w:pPr>
      <w:r>
        <w:rPr>
          <w:rStyle w:val="VerbatimChar"/>
        </w:rPr>
        <w:t xml:space="preserve">outcome ~ guardrail * profile + (1 | seed_id) + (1 | rater_id)</w:t>
      </w:r>
    </w:p>
    <w:p>
      <w:pPr>
        <w:pStyle w:val="BodyText"/>
      </w:pPr>
      <w:r>
        <w:t xml:space="preserve">Čítanie modelu je nasledovné: výsledný ukazovateľ vysvetľujeme klinickým usmernením, profilom odpovedania a ich interakciou, pričom zároveň dovolíme, aby sa priemerná úroveň hodnotení líšila medzi východiskovými scenármi a medzi hodnotiteľmi.</w:t>
      </w:r>
    </w:p>
    <w:p>
      <w:pPr>
        <w:pStyle w:val="BodyText"/>
      </w:pPr>
      <w:r>
        <w:t xml:space="preserve">Pri výstupných ukazovateľoch na úrovni prepisu rozhovoru</w:t>
      </w:r>
      <w:r>
        <w:t xml:space="preserve"> </w:t>
      </w:r>
      <w:r>
        <w:rPr>
          <w:rStyle w:val="VerbatimChar"/>
        </w:rPr>
        <w:t xml:space="preserve">symptom_error_mean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severity_error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impact_error</w:t>
      </w:r>
      <w:r>
        <w:t xml:space="preserve"> </w:t>
      </w:r>
      <w:r>
        <w:t xml:space="preserve">sa po agregácii na úroveň jedného prepisu rozhovoru používa tento tvar:</w:t>
      </w:r>
    </w:p>
    <w:p>
      <w:pPr>
        <w:pStyle w:val="BodyText"/>
      </w:pPr>
      <w:r>
        <w:rPr>
          <w:rStyle w:val="VerbatimChar"/>
        </w:rPr>
        <w:t xml:space="preserve">outcome ~ guardrail * profile + (1 | seed_id)</w:t>
      </w:r>
    </w:p>
    <w:p>
      <w:pPr>
        <w:pStyle w:val="BodyText"/>
      </w:pPr>
      <w:r>
        <w:t xml:space="preserve">V tomto bloku už v modeli nevystupuje</w:t>
      </w:r>
      <w:r>
        <w:t xml:space="preserve"> </w:t>
      </w:r>
      <w:r>
        <w:rPr>
          <w:rStyle w:val="VerbatimChar"/>
        </w:rPr>
        <w:t xml:space="preserve">rater_id</w:t>
      </w:r>
      <w:r>
        <w:t xml:space="preserve">, pretože sledovaný ukazovateľ je najprv sumarizovaný na úroveň prepisu rozhovoru. Tento krok bráni tomu, aby prepisy rozhovorov s vyšším počtom hodnotení dostali väčšiu váhu len preto, že boli častejšie posúdené.</w:t>
      </w:r>
    </w:p>
    <w:bookmarkEnd w:id="18"/>
    <w:bookmarkStart w:id="19" w:name="Xe60bde80a23d713840f7b2dfafe75444efead96"/>
    <w:p>
      <w:pPr>
        <w:pStyle w:val="Heading2"/>
      </w:pPr>
      <w:r>
        <w:t xml:space="preserve">B.4 Ako čítať koeficienty v interakčnom modeli</w:t>
      </w:r>
    </w:p>
    <w:p>
      <w:pPr>
        <w:pStyle w:val="FirstParagraph"/>
      </w:pPr>
      <w:r>
        <w:t xml:space="preserve">V hlavnom kódovaní je referenčnou kombináciou bunka</w:t>
      </w:r>
      <w:r>
        <w:t xml:space="preserve"> </w:t>
      </w:r>
      <w:r>
        <w:rPr>
          <w:rStyle w:val="VerbatimChar"/>
        </w:rPr>
        <w:t xml:space="preserve">G0 × P1</w:t>
      </w:r>
      <w:r>
        <w:t xml:space="preserve">, teda rozhovor bez štruktúrujúceho klinického usmernenia a so zdržanlivým štýlom odpovedania simulovaného pacienta.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972"/>
        <w:gridCol w:w="3971"/>
      </w:tblGrid>
      <w:tr>
        <w:trPr>
          <w:tblHeader w:val="on"/>
        </w:trPr>
        <w:tc>
          <w:tcPr>
            <w:tcW w:w="3972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Termín v tabuľke</w:t>
            </w:r>
          </w:p>
        </w:tc>
        <w:tc>
          <w:tcPr>
            <w:tcW w:w="3971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Ako ho čítať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Intercept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odhad pre referenčnú kombináciu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G0 × P1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guardrail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rozdiel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oproti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 profile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koeficient pre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P2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rozdiel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oproti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G0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koeficient pre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P3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rozdiel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oproti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G0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interakcia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G1 × P2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 koľko sa efekt usmernenia 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mení oproti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interakcia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G1 × P3</w:t>
            </w:r>
          </w:p>
        </w:tc>
        <w:tc>
          <w:tcPr>
            <w:tcW w:w="3971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 koľko sa efekt usmernenia 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mení oproti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P1</w:t>
            </w:r>
          </w:p>
        </w:tc>
      </w:tr>
    </w:tbl>
    <w:p>
      <w:pPr>
        <w:pStyle w:val="BodyText"/>
      </w:pPr>
      <w:r>
        <w:t xml:space="preserve">Prakticky to znamená, že samotné koeficienty interakčného modelu sú vhodné na presnú inferenčnú interpretáciu, ale pre čitateľské porozumenie bývajú menej intuitívne. Preto je užitočné dopĺňať ich aj o odhadované marginálne priemery pre všetky bunky</w:t>
      </w:r>
      <w:r>
        <w:t xml:space="preserve"> </w:t>
      </w:r>
      <w:r>
        <w:rPr>
          <w:rStyle w:val="VerbatimChar"/>
        </w:rPr>
        <w:t xml:space="preserve">G0/G1 × P1/P2/P3</w:t>
      </w:r>
      <w:r>
        <w:t xml:space="preserve">, ktoré ukazujú priamo odhadovanú priemernú úroveň výsledného ukazovateľa v každej experimentálnej kombinácii.</w:t>
      </w:r>
    </w:p>
    <w:bookmarkEnd w:id="19"/>
    <w:bookmarkStart w:id="20" w:name="X36546b5f910c0ae005a81e6fc0cdfb70aa8fb8a"/>
    <w:p>
      <w:pPr>
        <w:pStyle w:val="Heading2"/>
      </w:pPr>
      <w:r>
        <w:t xml:space="preserve">B.5 Poznámka k reportovaniu lineárnych zmiešaných modelov</w:t>
      </w:r>
    </w:p>
    <w:p>
      <w:pPr>
        <w:pStyle w:val="FirstParagraph"/>
      </w:pPr>
      <w:r>
        <w:t xml:space="preserve">V lineárnych zmiešaných modeloch sa v tejto práci reportujú odhady koeficientov, štandardné chyby,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štatistiky, Waldove 95 % intervaly spoľahlivosti a</w:t>
      </w:r>
      <w:r>
        <w:t xml:space="preserve"> </w:t>
      </w:r>
      <w:r>
        <w:rPr>
          <w:rStyle w:val="VerbatimChar"/>
        </w:rPr>
        <w:t xml:space="preserve">p</w:t>
      </w:r>
      <w:r>
        <w:t xml:space="preserve">-hodnoty.</w:t>
      </w:r>
      <w:r>
        <w:t xml:space="preserve"> </w:t>
      </w:r>
      <w:r>
        <w:rPr>
          <w:rStyle w:val="VerbatimChar"/>
        </w:rPr>
        <w:t xml:space="preserve">p</w:t>
      </w:r>
      <w:r>
        <w:t xml:space="preserve">-hodnoty v</w:t>
      </w:r>
      <w:r>
        <w:t xml:space="preserve"> </w:t>
      </w:r>
      <w:r>
        <w:rPr>
          <w:rStyle w:val="VerbatimChar"/>
        </w:rPr>
        <w:t xml:space="preserve">LMM</w:t>
      </w:r>
      <w:r>
        <w:t xml:space="preserve"> </w:t>
      </w:r>
      <w:r>
        <w:t xml:space="preserve">vetve vychádzajú z balíka</w:t>
      </w:r>
      <w:r>
        <w:t xml:space="preserve"> </w:t>
      </w:r>
      <w:r>
        <w:rPr>
          <w:rStyle w:val="VerbatimChar"/>
        </w:rPr>
        <w:t xml:space="preserve">lmerTest</w:t>
      </w:r>
      <w:r>
        <w:t xml:space="preserve"> </w:t>
      </w:r>
      <w:r>
        <w:t xml:space="preserve">so Satterthwaite aproximáciou stupňov voľnosti. Pri interpretácii však aj tak ostáva dôležité čítať popri</w:t>
      </w:r>
      <w:r>
        <w:t xml:space="preserve"> </w:t>
      </w:r>
      <w:r>
        <w:rPr>
          <w:rStyle w:val="VerbatimChar"/>
        </w:rPr>
        <w:t xml:space="preserve">p</w:t>
      </w:r>
      <w:r>
        <w:t xml:space="preserve">-hodnote najmä smer efektu, jeho veľkosť a interval spoľahlivosti.</w:t>
      </w:r>
    </w:p>
    <w:bookmarkEnd w:id="20"/>
    <w:bookmarkEnd w:id="21"/>
    <w:bookmarkStart w:id="25" w:name="príloha-c"/>
    <w:p>
      <w:pPr>
        <w:pStyle w:val="Heading1"/>
      </w:pPr>
      <w:r>
        <w:t xml:space="preserve">Príloha C</w:t>
      </w:r>
    </w:p>
    <w:p>
      <w:pPr>
        <w:pStyle w:val="FirstParagraph"/>
      </w:pPr>
      <w:r>
        <w:rPr>
          <w:b/>
          <w:bCs/>
        </w:rPr>
        <w:t xml:space="preserve">Public-safe schéma seedov a anchorovania</w:t>
      </w:r>
    </w:p>
    <w:p>
      <w:pPr>
        <w:pStyle w:val="BodyText"/>
      </w:pPr>
      <w:r>
        <w:t xml:space="preserve">Táto príloha zámerne neobsahuje plný seed corpus. Jej funkciou je ukázať logiku klinického anchorovania bez odovzdania celého proprietárneho balíka prípadov.</w:t>
      </w:r>
    </w:p>
    <w:bookmarkStart w:id="22" w:name="Xa2b712ddc7906369fd84ce82380d49369ef6d11"/>
    <w:p>
      <w:pPr>
        <w:pStyle w:val="Heading2"/>
      </w:pPr>
      <w:r>
        <w:t xml:space="preserve">C.1 Symptomatické a globálne anchor domény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972"/>
        <w:gridCol w:w="3971"/>
      </w:tblGrid>
      <w:tr>
        <w:trPr>
          <w:tblHeader w:val="on"/>
        </w:trPr>
        <w:tc>
          <w:tcPr>
            <w:tcW w:w="3972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Doména</w:t>
            </w:r>
          </w:p>
        </w:tc>
        <w:tc>
          <w:tcPr>
            <w:tcW w:w="3971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Obsah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A1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depresívna nálada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A2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strata záujmu alebo anhedónia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A3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poruchy spánku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A4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zmeny apetítu alebo hmotnosti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A5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psychomotorické spomalenie alebo nepokoj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A6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únava alebo nízka energia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A7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pocity viny alebo bezcennosti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A8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zhoršená koncentrácia alebo rozhodovanie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A9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pasívne myšlienky na smrť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S1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cieľová úroveň celkovej závažnosti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S2</w:t>
            </w:r>
          </w:p>
        </w:tc>
        <w:tc>
          <w:tcPr>
            <w:tcW w:w="3971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cieľová úroveň funkčného dopadu</w:t>
            </w:r>
          </w:p>
        </w:tc>
      </w:tr>
    </w:tbl>
    <w:bookmarkEnd w:id="22"/>
    <w:bookmarkStart w:id="23" w:name="c.2-ilustračný-seed-prípad"/>
    <w:p>
      <w:pPr>
        <w:pStyle w:val="Heading2"/>
      </w:pPr>
      <w:r>
        <w:t xml:space="preserve">C.2 Ilustračný seed prípad</w:t>
      </w:r>
    </w:p>
    <w:p>
      <w:pPr>
        <w:pStyle w:val="FirstParagraph"/>
      </w:pPr>
      <w:r>
        <w:t xml:space="preserve">Nasledujúci príklad ukazuje, ako vyzerá jeden public-safe ilustračný seed bez plnej naratívnej seed dokumentácie.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972"/>
        <w:gridCol w:w="3971"/>
      </w:tblGrid>
      <w:tr>
        <w:trPr>
          <w:tblHeader w:val="on"/>
        </w:trPr>
        <w:tc>
          <w:tcPr>
            <w:tcW w:w="3972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Prvok</w:t>
            </w:r>
          </w:p>
        </w:tc>
        <w:tc>
          <w:tcPr>
            <w:tcW w:w="3971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Ilustračný príklad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Označenie prípadu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ilustračný seed s moderátne závažným obrazom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Jadro obrazu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nízka nálada, anhedónia, únava, porucha spánku, vina a zhoršená koncentrácia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Funkčný dopad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zhoršenie školského alebo pracovného fungovania a sociálneho života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Diferenciálna opatrnosť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nejde len o bežný stres, izolovaný spánkový problém, intoxikáciu, mániu alebo psychózu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Cieľový severity anchor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stredná až vyššia stredná závažnosť podľa seed nastavenia</w:t>
            </w:r>
          </w:p>
        </w:tc>
      </w:tr>
      <w:tr>
        <w:tc>
          <w:tcPr>
            <w:tcW w:w="3972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Cieľový impact anchor</w:t>
            </w:r>
          </w:p>
        </w:tc>
        <w:tc>
          <w:tcPr>
            <w:tcW w:w="3971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stredný funkčný dopad podľa seed nastavenia</w:t>
            </w:r>
          </w:p>
        </w:tc>
      </w:tr>
    </w:tbl>
    <w:bookmarkEnd w:id="23"/>
    <w:bookmarkStart w:id="24" w:name="X8a612e82a3645ad799430e78e2fe9af9522a795"/>
    <w:p>
      <w:pPr>
        <w:pStyle w:val="Heading2"/>
      </w:pPr>
      <w:r>
        <w:t xml:space="preserve">C.3 Prečo je seed corpus v práci len redigovaný</w:t>
      </w:r>
    </w:p>
    <w:p>
      <w:pPr>
        <w:pStyle w:val="FirstParagraph"/>
      </w:pPr>
      <w:r>
        <w:t xml:space="preserve">Plný seed corpus neuvádzam vo verejnej verzii appendixu, pretože by sprístupnil:</w:t>
      </w:r>
    </w:p>
    <w:p>
      <w:pPr>
        <w:pStyle w:val="Compact"/>
        <w:numPr>
          <w:ilvl w:val="0"/>
          <w:numId w:val="1003"/>
        </w:numPr>
      </w:pPr>
      <w:r>
        <w:t xml:space="preserve">presné klinické kotvy všetkých prípadov,</w:t>
      </w:r>
    </w:p>
    <w:p>
      <w:pPr>
        <w:pStyle w:val="Compact"/>
        <w:numPr>
          <w:ilvl w:val="0"/>
          <w:numId w:val="1003"/>
        </w:numPr>
      </w:pPr>
      <w:r>
        <w:t xml:space="preserve">plnú internú logiku rozdielov medzi seedmi,</w:t>
      </w:r>
    </w:p>
    <w:p>
      <w:pPr>
        <w:pStyle w:val="Compact"/>
        <w:numPr>
          <w:ilvl w:val="0"/>
          <w:numId w:val="1003"/>
        </w:numPr>
      </w:pPr>
      <w:r>
        <w:t xml:space="preserve">jadro know-how simulačného rámca, ktoré presahuje potrebu bežného čitateľa.</w:t>
      </w:r>
    </w:p>
    <w:p>
      <w:pPr>
        <w:pStyle w:val="FirstParagraph"/>
      </w:pPr>
      <w:r>
        <w:t xml:space="preserve">Pre potreby práce preto stačí:</w:t>
      </w:r>
    </w:p>
    <w:p>
      <w:pPr>
        <w:pStyle w:val="Compact"/>
        <w:numPr>
          <w:ilvl w:val="0"/>
          <w:numId w:val="1004"/>
        </w:numPr>
      </w:pPr>
      <w:r>
        <w:t xml:space="preserve">opísať logiku A1 až A9,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S2</w:t>
      </w:r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uviesť jeden ilustračný prípad,</w:t>
      </w:r>
    </w:p>
    <w:p>
      <w:pPr>
        <w:pStyle w:val="Compact"/>
        <w:numPr>
          <w:ilvl w:val="0"/>
          <w:numId w:val="1004"/>
        </w:numPr>
      </w:pPr>
      <w:r>
        <w:t xml:space="preserve">v hlavnom texte transparentne vysvetliť, že plný seed corpus bol použitý pri generovaní a analytickom porovnaní.</w:t>
      </w:r>
    </w:p>
    <w:bookmarkEnd w:id="24"/>
    <w:bookmarkEnd w:id="25"/>
    <w:bookmarkStart w:id="28" w:name="príloha-d"/>
    <w:p>
      <w:pPr>
        <w:pStyle w:val="Heading1"/>
      </w:pPr>
      <w:r>
        <w:t xml:space="preserve">Príloha D</w:t>
      </w:r>
    </w:p>
    <w:p>
      <w:pPr>
        <w:pStyle w:val="FirstParagraph"/>
      </w:pPr>
      <w:r>
        <w:rPr>
          <w:b/>
          <w:bCs/>
        </w:rPr>
        <w:t xml:space="preserve">Doplnkové tabuľky a grafy</w:t>
      </w:r>
    </w:p>
    <w:p>
      <w:pPr>
        <w:pStyle w:val="BodyText"/>
      </w:pPr>
      <w:r>
        <w:t xml:space="preserve">Táto príloha má niesť len tie doplnkové analytické výstupy, ktoré po finálnom run-e zostanú interpretačne zmysluplné a zároveň nebudú zbytočne duplikovať hlavný text.</w:t>
      </w:r>
    </w:p>
    <w:bookmarkStart w:id="26" w:name="d.1-odporúčaný-supplement-balík"/>
    <w:p>
      <w:pPr>
        <w:pStyle w:val="Heading2"/>
      </w:pPr>
      <w:r>
        <w:t xml:space="preserve">D.1 Odporúčaný supplement balík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48"/>
        <w:gridCol w:w="2648"/>
        <w:gridCol w:w="2647"/>
      </w:tblGrid>
      <w:tr>
        <w:trPr>
          <w:tblHeader w:val="on"/>
        </w:trPr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Pracovný blok</w:t>
            </w:r>
          </w:p>
        </w:tc>
        <w:tc>
          <w:tcPr>
            <w:tcW w:w="2648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Obsah</w:t>
            </w:r>
          </w:p>
        </w:tc>
        <w:tc>
          <w:tcPr>
            <w:tcW w:w="2647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Zdrojový artefakt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Korelačná tabuľka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Spearmanova korelačná matica transcript-level kompozitov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tables/table_s1_spearman_transcript_composites.csv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Korelačná heatmapa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Heatmap korelačnej matice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figures/figure_s1_spearman_heatmap.png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PAM profily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Profily PAM klastrov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tables/table_s2_pam_cluster_profiles.csv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PAM rozloženie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Rozloženie PAM klastrov podľa podmienok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tables/table_s3_pam_cluster_by_condition.csv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PAM mapa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Mapovanie PAM klastrov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figures/figure_s2_pam_cluster_map.png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Expert review položiek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Predbežná expertná kontrola položiek ratingového nástroja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tables/table_s4_expert_review_items.csv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Expert review scenárov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Predbežná expertná kontrola seed scenárov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tables/table_s5_expert_review_seeds.csv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Sensitivity LMM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Sensitivity lineárne mixed modely s random interceptom pre transkript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tables/table_s6_lmm_sensitivity_transcript_id.csv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Heatmapa položiek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Heatmap predbežnej expertnej kontroly položiek ratingového nástroja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figures/figure_s3_expert_review_items_heatmap.png</w:t>
            </w:r>
          </w:p>
        </w:tc>
      </w:tr>
      <w:tr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Heatmapa scenárov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Heatmap predbežnej expertnej kontroly seed scenárov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figures/figure_s4_expert_review_seeds_heatmap.png</w:t>
            </w:r>
          </w:p>
        </w:tc>
      </w:tr>
    </w:tbl>
    <w:bookmarkEnd w:id="26"/>
    <w:bookmarkStart w:id="27" w:name="d.2-redakčné-pravidlo-pre-finálny-výber"/>
    <w:p>
      <w:pPr>
        <w:pStyle w:val="Heading2"/>
      </w:pPr>
      <w:r>
        <w:t xml:space="preserve">D.2 Redakčné pravidlo pre finálny výber</w:t>
      </w:r>
    </w:p>
    <w:p>
      <w:pPr>
        <w:pStyle w:val="FirstParagraph"/>
      </w:pPr>
      <w:r>
        <w:t xml:space="preserve">Do finálnej verzie prílohy D zaradiť iba tie tabuľky a grafy, ktoré:</w:t>
      </w:r>
    </w:p>
    <w:p>
      <w:pPr>
        <w:pStyle w:val="Compact"/>
        <w:numPr>
          <w:ilvl w:val="0"/>
          <w:numId w:val="1005"/>
        </w:numPr>
      </w:pPr>
      <w:r>
        <w:t xml:space="preserve">budú po finálnom analytickom behu stabilné a interpretačne obhájiteľné,</w:t>
      </w:r>
    </w:p>
    <w:p>
      <w:pPr>
        <w:pStyle w:val="Compact"/>
        <w:numPr>
          <w:ilvl w:val="0"/>
          <w:numId w:val="1005"/>
        </w:numPr>
      </w:pPr>
      <w:r>
        <w:t xml:space="preserve">budú mať jasnú väzbu na hlavný text,</w:t>
      </w:r>
    </w:p>
    <w:p>
      <w:pPr>
        <w:pStyle w:val="Compact"/>
        <w:numPr>
          <w:ilvl w:val="0"/>
          <w:numId w:val="1005"/>
        </w:numPr>
      </w:pPr>
      <w:r>
        <w:t xml:space="preserve">nebudú len technickým výstupom pipeline bez výpovednej hodnoty.</w:t>
      </w:r>
    </w:p>
    <w:p>
      <w:pPr>
        <w:pStyle w:val="FirstParagraph"/>
      </w:pPr>
      <w:r>
        <w:t xml:space="preserve">Ak niektorý doplnkový výstup po finálnom run-e neostane stabilný alebo interpretačne čistý, má ostať v internom workflowe a nie v appendixe.</w:t>
      </w:r>
    </w:p>
    <w:bookmarkEnd w:id="27"/>
    <w:bookmarkEnd w:id="28"/>
    <w:bookmarkStart w:id="32" w:name="príloha-e"/>
    <w:p>
      <w:pPr>
        <w:pStyle w:val="Heading1"/>
      </w:pPr>
      <w:r>
        <w:t xml:space="preserve">Príloha E</w:t>
      </w:r>
    </w:p>
    <w:p>
      <w:pPr>
        <w:pStyle w:val="FirstParagraph"/>
      </w:pPr>
      <w:r>
        <w:rPr>
          <w:b/>
          <w:bCs/>
        </w:rPr>
        <w:t xml:space="preserve">Stručná public-safe verzia etických a rater inštrukčných dokumentov</w:t>
      </w:r>
    </w:p>
    <w:bookmarkStart w:id="29" w:name="e.1-etický-a-procedurálny-rámec"/>
    <w:p>
      <w:pPr>
        <w:pStyle w:val="Heading2"/>
      </w:pPr>
      <w:r>
        <w:t xml:space="preserve">E.1 Etický a procedurálny rámec</w:t>
      </w:r>
    </w:p>
    <w:p>
      <w:pPr>
        <w:pStyle w:val="Compact"/>
        <w:numPr>
          <w:ilvl w:val="0"/>
          <w:numId w:val="1006"/>
        </w:numPr>
      </w:pPr>
      <w:r>
        <w:t xml:space="preserve">hodnotený materiál pozostával zo simulovaných textových transkriptov;</w:t>
      </w:r>
    </w:p>
    <w:p>
      <w:pPr>
        <w:pStyle w:val="Compact"/>
        <w:numPr>
          <w:ilvl w:val="0"/>
          <w:numId w:val="1006"/>
        </w:numPr>
      </w:pPr>
      <w:r>
        <w:t xml:space="preserve">účasť hodnotiteľov bola dobrovoľná;</w:t>
      </w:r>
    </w:p>
    <w:p>
      <w:pPr>
        <w:pStyle w:val="Compact"/>
        <w:numPr>
          <w:ilvl w:val="0"/>
          <w:numId w:val="1006"/>
        </w:numPr>
      </w:pPr>
      <w:r>
        <w:t xml:space="preserve">odpovede boli analyzované v anonymizovanom alebo pseudonymizovanom analytickom datasete;</w:t>
      </w:r>
    </w:p>
    <w:p>
      <w:pPr>
        <w:pStyle w:val="Compact"/>
        <w:numPr>
          <w:ilvl w:val="0"/>
          <w:numId w:val="1006"/>
        </w:numPr>
      </w:pPr>
      <w:r>
        <w:t xml:space="preserve">hodnotenie prebiehalo individuálne a asynchrónne;</w:t>
      </w:r>
    </w:p>
    <w:p>
      <w:pPr>
        <w:pStyle w:val="Compact"/>
        <w:numPr>
          <w:ilvl w:val="0"/>
          <w:numId w:val="1006"/>
        </w:numPr>
      </w:pPr>
      <w:r>
        <w:t xml:space="preserve">hodnotitelia boli informovaní, že ide o AI-generovaný materiál.</w:t>
      </w:r>
    </w:p>
    <w:bookmarkEnd w:id="29"/>
    <w:bookmarkStart w:id="30" w:name="e.2-stručná-inštrukcia-pre-hodnotiteľa"/>
    <w:p>
      <w:pPr>
        <w:pStyle w:val="Heading2"/>
      </w:pPr>
      <w:r>
        <w:t xml:space="preserve">E.2 Stručná inštrukcia pre hodnotiteľa</w:t>
      </w:r>
    </w:p>
    <w:p>
      <w:pPr>
        <w:pStyle w:val="Compact"/>
        <w:numPr>
          <w:ilvl w:val="0"/>
          <w:numId w:val="1007"/>
        </w:numPr>
      </w:pPr>
      <w:r>
        <w:t xml:space="preserve">hodnotiť rozhovor ako celok, nie iba izolované symptómové položky;</w:t>
      </w:r>
    </w:p>
    <w:p>
      <w:pPr>
        <w:pStyle w:val="Compact"/>
        <w:numPr>
          <w:ilvl w:val="0"/>
          <w:numId w:val="1007"/>
        </w:numPr>
      </w:pPr>
      <w:r>
        <w:t xml:space="preserve">rozlišovať medzi celkovou kvalitou rozhovoru, symptomatickou primeranosťou a problémovými prvkami;</w:t>
      </w:r>
    </w:p>
    <w:p>
      <w:pPr>
        <w:pStyle w:val="Compact"/>
        <w:numPr>
          <w:ilvl w:val="0"/>
          <w:numId w:val="1007"/>
        </w:numPr>
      </w:pPr>
      <w:r>
        <w:t xml:space="preserve">pri odhade pôvodu rozhovoru odpovedať podľa vlastného odborného dojmu;</w:t>
      </w:r>
    </w:p>
    <w:p>
      <w:pPr>
        <w:pStyle w:val="Compact"/>
        <w:numPr>
          <w:ilvl w:val="0"/>
          <w:numId w:val="1007"/>
        </w:numPr>
      </w:pPr>
      <w:r>
        <w:t xml:space="preserve">otvorený komentár používať na stručné zachytenie dôvodov pozitívneho alebo negatívneho hodnotenia.</w:t>
      </w:r>
    </w:p>
    <w:bookmarkEnd w:id="30"/>
    <w:bookmarkStart w:id="31" w:name="e.3-čo-do-verejnej-verzie-nepatrí"/>
    <w:p>
      <w:pPr>
        <w:pStyle w:val="Heading2"/>
      </w:pPr>
      <w:r>
        <w:t xml:space="preserve">E.3 Čo do verejnej verzie nepatrí</w:t>
      </w:r>
    </w:p>
    <w:p>
      <w:pPr>
        <w:pStyle w:val="FirstParagraph"/>
      </w:pPr>
      <w:r>
        <w:t xml:space="preserve">Do verejnej prílohy E nepatria:</w:t>
      </w:r>
    </w:p>
    <w:p>
      <w:pPr>
        <w:pStyle w:val="Compact"/>
        <w:numPr>
          <w:ilvl w:val="0"/>
          <w:numId w:val="1008"/>
        </w:numPr>
      </w:pPr>
      <w:r>
        <w:t xml:space="preserve">interné runtime pravidlá simulácie,</w:t>
      </w:r>
    </w:p>
    <w:p>
      <w:pPr>
        <w:pStyle w:val="Compact"/>
        <w:numPr>
          <w:ilvl w:val="0"/>
          <w:numId w:val="1008"/>
        </w:numPr>
      </w:pPr>
      <w:r>
        <w:t xml:space="preserve">technické branching pokyny,</w:t>
      </w:r>
    </w:p>
    <w:p>
      <w:pPr>
        <w:pStyle w:val="Compact"/>
        <w:numPr>
          <w:ilvl w:val="0"/>
          <w:numId w:val="1008"/>
        </w:numPr>
      </w:pPr>
      <w:r>
        <w:t xml:space="preserve">interné safety workflow pre AI-only beh,</w:t>
      </w:r>
    </w:p>
    <w:p>
      <w:pPr>
        <w:pStyle w:val="Compact"/>
        <w:numPr>
          <w:ilvl w:val="0"/>
          <w:numId w:val="1008"/>
        </w:numPr>
      </w:pPr>
      <w:r>
        <w:t xml:space="preserve">presné operačné inštrukcie používané mimo verejného znenia práce.</w:t>
      </w:r>
    </w:p>
    <w:bookmarkEnd w:id="31"/>
    <w:bookmarkEnd w:id="32"/>
    <w:bookmarkStart w:id="34" w:name="príloha-f"/>
    <w:p>
      <w:pPr>
        <w:pStyle w:val="Heading1"/>
      </w:pPr>
      <w:r>
        <w:t xml:space="preserve">Príloha F</w:t>
      </w:r>
    </w:p>
    <w:p>
      <w:pPr>
        <w:pStyle w:val="FirstParagraph"/>
      </w:pPr>
      <w:r>
        <w:rPr>
          <w:b/>
          <w:bCs/>
        </w:rPr>
        <w:t xml:space="preserve">Kompaktná mapa empirických otázok, hypotéz, outcome-ov a modelov</w:t>
      </w:r>
    </w:p>
    <w:tbl>
      <w:tblPr>
        <w:tblStyle w:val="Table"/>
        <w:tblW w:w="7943" w:type="dxa"/>
        <w:jc w:val="center"/>
        <w:tblLayout w:type="fixed"/>
        <w:tblCellMar>
          <w:top w:w="35" w:type="dxa"/>
          <w:left w:w="90" w:type="dxa"/>
          <w:bottom w:w="35" w:type="dxa"/>
          <w:right w:w="9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324"/>
        <w:gridCol w:w="1324"/>
        <w:gridCol w:w="1324"/>
        <w:gridCol w:w="1324"/>
        <w:gridCol w:w="1324"/>
        <w:gridCol w:w="1323"/>
      </w:tblGrid>
      <w:tr>
        <w:trPr>
          <w:tblHeader w:val="on"/>
        </w:trPr>
        <w:tc>
          <w:tcPr>
            <w:tcW w:w="1324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Blok</w:t>
            </w:r>
          </w:p>
        </w:tc>
        <w:tc>
          <w:tcPr>
            <w:tcW w:w="1324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Funkcia bloku</w:t>
            </w:r>
          </w:p>
        </w:tc>
        <w:tc>
          <w:tcPr>
            <w:tcW w:w="1324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VO</w:t>
            </w:r>
          </w:p>
        </w:tc>
        <w:tc>
          <w:tcPr>
            <w:tcW w:w="1324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H</w:t>
            </w:r>
          </w:p>
        </w:tc>
        <w:tc>
          <w:tcPr>
            <w:tcW w:w="1324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Hlavné outcome-y</w:t>
            </w:r>
          </w:p>
        </w:tc>
        <w:tc>
          <w:tcPr>
            <w:tcW w:w="1323" w:type="dxa"/>
            <w:tcBorders>
              <w:top w:val="single" w:sz="10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Model alebo postup</w:t>
            </w:r>
          </w:p>
        </w:tc>
      </w:tr>
      <w:t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globálna kvalita interview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VO1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H1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H2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H5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index klinickej vierohodnosti;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G5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deskriptíva,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LMM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ordinal mixed models</w:t>
            </w:r>
          </w:p>
        </w:tc>
      </w:tr>
      <w:t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symptom fidelity voči seedu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VO2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H4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priemerná absolútna chyba v doménach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A9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doplnkovo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error skóre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transcript-level modely, doplnkové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LMM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ordinal mixed models</w:t>
            </w:r>
          </w:p>
        </w:tc>
      </w:tr>
      <w:t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efekt štýlu odpovedania simulovaného pacienta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VO3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H6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H7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index klinickej vierohodnosti;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G5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LMM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ordinal mixed models</w:t>
            </w:r>
          </w:p>
        </w:tc>
      </w:tr>
      <w:t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efekt štýlu odpovedania na fidelity a defekty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VO4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H8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+ nehypotetizované doplnkové výstupy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priemerná absolútna chyba,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severity_error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impact_error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index defektov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LMM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transcript-level modely, doplnkové ordinal mixed models</w:t>
            </w:r>
          </w:p>
        </w:tc>
      </w:tr>
      <w:t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interakcia oboch faktorov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VO5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H9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index klinickej vierohodnosti; index defektov; doplnkovo fidelity outcome-y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interakčné členy v mixed modeloch</w:t>
            </w:r>
          </w:p>
        </w:tc>
      </w:tr>
      <w:t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zhoda hodnotiteľov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VO6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bez hypotézy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ICC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pre hlavné kompozity a pre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S2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ICC</w:t>
            </w:r>
          </w:p>
        </w:tc>
      </w:tr>
      <w:t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vnímaný pôvod rozhovoru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VO7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bez hypotézy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odhad pôvodu rozhovoru; istota odhadu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frekvencie, doplnkové modely</w:t>
            </w:r>
          </w:p>
        </w:tc>
      </w:tr>
      <w:tr>
        <w:tc>
          <w:tcPr>
            <w:tcW w:w="1324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otvorené komentáre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VO8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bez hypotézy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komentár hodnotiteľa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>
            <w:pPr>
              <w:pStyle w:val="Compact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stručné tematické kódovanie</w:t>
            </w:r>
          </w:p>
        </w:tc>
      </w:tr>
    </w:tbl>
    <w:bookmarkStart w:id="33" w:name="f.1-najkratšia-verzia-logiky-appendixu"/>
    <w:p>
      <w:pPr>
        <w:pStyle w:val="Heading2"/>
      </w:pPr>
      <w:r>
        <w:t xml:space="preserve">F.1 Najkratšia verzia logiky appendixu</w:t>
      </w:r>
    </w:p>
    <w:p>
      <w:pPr>
        <w:pStyle w:val="Compact"/>
        <w:numPr>
          <w:ilvl w:val="0"/>
          <w:numId w:val="1009"/>
        </w:numPr>
      </w:pPr>
      <w:r>
        <w:t xml:space="preserve">Blok A ukazuje, či rozhovory pôsobia kvalitne a či zodpovedajú seed profilu.</w:t>
      </w:r>
    </w:p>
    <w:p>
      <w:pPr>
        <w:pStyle w:val="Compact"/>
        <w:numPr>
          <w:ilvl w:val="0"/>
          <w:numId w:val="1009"/>
        </w:numPr>
      </w:pPr>
      <w:r>
        <w:t xml:space="preserve">Blok B ukazuje, čo s kvalitou robí štýl odpovedania simulovaného pacienta.</w:t>
      </w:r>
    </w:p>
    <w:p>
      <w:pPr>
        <w:pStyle w:val="Compact"/>
        <w:numPr>
          <w:ilvl w:val="0"/>
          <w:numId w:val="1009"/>
        </w:numPr>
      </w:pPr>
      <w:r>
        <w:t xml:space="preserve">Blok C uzatvára interakciu, zhodu hodnotiteľov a doplnkové signály o pôvode rozhovoru a komentároch.</w:t>
      </w:r>
    </w:p>
    <w:bookmarkEnd w:id="33"/>
    <w:bookmarkEnd w:id="34"/>
    <w:bookmarkStart w:id="40" w:name="príloha-h"/>
    <w:p>
      <w:pPr>
        <w:pStyle w:val="Heading1"/>
      </w:pPr>
      <w:r>
        <w:t xml:space="preserve">Príloha H</w:t>
      </w:r>
    </w:p>
    <w:p>
      <w:pPr>
        <w:pStyle w:val="FirstParagraph"/>
      </w:pPr>
      <w:r>
        <w:rPr>
          <w:b/>
          <w:bCs/>
        </w:rPr>
        <w:t xml:space="preserve">Využitie generatívnej AI pri vypracovaní diplomovej práce</w:t>
      </w:r>
    </w:p>
    <w:p>
      <w:pPr>
        <w:pStyle w:val="BodyText"/>
      </w:pPr>
      <w:r>
        <w:t xml:space="preserve">Táto príloha sa vzťahuje výlučne na využitie generatívnej AI ako podporného nástroja pri písaní a technickom workflowe práce. Nevzťahuje sa na empirickú časť výskumu, v ktorej generatívna AI vystupuje ako súčasť skúmaného simulačného rámca a ako zdroj analyzovaného materiálu.</w:t>
      </w:r>
    </w:p>
    <w:bookmarkStart w:id="35" w:name="h.1-rozsah-a-povaha-využitia"/>
    <w:p>
      <w:pPr>
        <w:pStyle w:val="Heading2"/>
      </w:pPr>
      <w:r>
        <w:t xml:space="preserve">H.1 Rozsah a povaha využitia</w:t>
      </w:r>
    </w:p>
    <w:p>
      <w:pPr>
        <w:pStyle w:val="FirstParagraph"/>
      </w:pPr>
      <w:r>
        <w:t xml:space="preserve">Pri vypracovaní tejto diplomovej práce boli v obmedzenej, kontrolovanej a podriadenej miere využité generatívne jazykové modely ako pomocné nástroje pri jazykových, štylistických, organizačných a technických úlohách. Konkrétne išlo najmä o platené nástroje OpenAI ChatGPT a Codex a o nástroje Anthropic Claude; konkrétne aplikačné a modelové verzie sa mohli počas authoring workflowu meniť podľa aktuálne dostupnej verzie služby.</w:t>
      </w:r>
    </w:p>
    <w:bookmarkEnd w:id="35"/>
    <w:bookmarkStart w:id="36" w:name="h.2-na-čo-bola-generatívna-ai-využitá"/>
    <w:p>
      <w:pPr>
        <w:pStyle w:val="Heading2"/>
      </w:pPr>
      <w:r>
        <w:t xml:space="preserve">H.2 Na čo bola generatívna AI využitá</w:t>
      </w:r>
    </w:p>
    <w:p>
      <w:pPr>
        <w:pStyle w:val="FirstParagraph"/>
      </w:pPr>
      <w:r>
        <w:t xml:space="preserve">Generatívna AI bola využitá najmä na:</w:t>
      </w:r>
    </w:p>
    <w:p>
      <w:pPr>
        <w:pStyle w:val="Compact"/>
        <w:numPr>
          <w:ilvl w:val="0"/>
          <w:numId w:val="1010"/>
        </w:numPr>
      </w:pPr>
      <w:r>
        <w:t xml:space="preserve">návrhy alternatívnych formulácií viet, odsekov a nadpisov;</w:t>
      </w:r>
    </w:p>
    <w:p>
      <w:pPr>
        <w:pStyle w:val="Compact"/>
        <w:numPr>
          <w:ilvl w:val="0"/>
          <w:numId w:val="1010"/>
        </w:numPr>
      </w:pPr>
      <w:r>
        <w:t xml:space="preserve">jazykové a štylistické spresnenie textu;</w:t>
      </w:r>
    </w:p>
    <w:p>
      <w:pPr>
        <w:pStyle w:val="Compact"/>
        <w:numPr>
          <w:ilvl w:val="0"/>
          <w:numId w:val="1010"/>
        </w:numPr>
      </w:pPr>
      <w:r>
        <w:t xml:space="preserve">kontrolu zrozumiteľnosti, logiky a nadväznosti medzi časťami rukopisu;</w:t>
      </w:r>
    </w:p>
    <w:p>
      <w:pPr>
        <w:pStyle w:val="Compact"/>
        <w:numPr>
          <w:ilvl w:val="0"/>
          <w:numId w:val="1010"/>
        </w:numPr>
      </w:pPr>
      <w:r>
        <w:t xml:space="preserve">pomoc pri tvorbe pracovných osnov, redakčných checklistov a prechodových formulácií medzi sekciami;</w:t>
      </w:r>
    </w:p>
    <w:p>
      <w:pPr>
        <w:pStyle w:val="Compact"/>
        <w:numPr>
          <w:ilvl w:val="0"/>
          <w:numId w:val="1010"/>
        </w:numPr>
      </w:pPr>
      <w:r>
        <w:t xml:space="preserve">technickú podporu pri príprave alebo úprave pomocných skriptov, Word exportov, review workflowov a organizácie doplnkových materiálov a príloh.</w:t>
      </w:r>
    </w:p>
    <w:bookmarkEnd w:id="36"/>
    <w:bookmarkStart w:id="37" w:name="h.3-na-čo-generatívna-ai-využitá-nebola"/>
    <w:p>
      <w:pPr>
        <w:pStyle w:val="Heading2"/>
      </w:pPr>
      <w:r>
        <w:t xml:space="preserve">H.3 Na čo generatívna AI využitá nebola</w:t>
      </w:r>
    </w:p>
    <w:p>
      <w:pPr>
        <w:pStyle w:val="FirstParagraph"/>
      </w:pPr>
      <w:r>
        <w:t xml:space="preserve">Generatívna AI nebola použitá na:</w:t>
      </w:r>
    </w:p>
    <w:p>
      <w:pPr>
        <w:pStyle w:val="Compact"/>
        <w:numPr>
          <w:ilvl w:val="0"/>
          <w:numId w:val="1011"/>
        </w:numPr>
      </w:pPr>
      <w:r>
        <w:t xml:space="preserve">vytváranie, falšovanie alebo manuálne nahrádzanie výskumných dát;</w:t>
      </w:r>
    </w:p>
    <w:p>
      <w:pPr>
        <w:pStyle w:val="Compact"/>
        <w:numPr>
          <w:ilvl w:val="0"/>
          <w:numId w:val="1011"/>
        </w:numPr>
      </w:pPr>
      <w:r>
        <w:t xml:space="preserve">samostatnú realizáciu štatistických analýz bez kontroly autora;</w:t>
      </w:r>
    </w:p>
    <w:p>
      <w:pPr>
        <w:pStyle w:val="Compact"/>
        <w:numPr>
          <w:ilvl w:val="0"/>
          <w:numId w:val="1011"/>
        </w:numPr>
      </w:pPr>
      <w:r>
        <w:t xml:space="preserve">autonómnu interpretáciu výsledkov alebo formulovanie finálnych vedeckých záverov;</w:t>
      </w:r>
    </w:p>
    <w:p>
      <w:pPr>
        <w:pStyle w:val="Compact"/>
        <w:numPr>
          <w:ilvl w:val="0"/>
          <w:numId w:val="1011"/>
        </w:numPr>
      </w:pPr>
      <w:r>
        <w:t xml:space="preserve">automatické nahradenie odbornej práce autora pri metodologických rozhodnutiach;</w:t>
      </w:r>
    </w:p>
    <w:p>
      <w:pPr>
        <w:pStyle w:val="Compact"/>
        <w:numPr>
          <w:ilvl w:val="0"/>
          <w:numId w:val="1011"/>
        </w:numPr>
      </w:pPr>
      <w:r>
        <w:t xml:space="preserve">nahradenie Zotera ako zdroja pravdy pre bibliografické údaje a finálne citačné rozhodnutia.</w:t>
      </w:r>
    </w:p>
    <w:bookmarkEnd w:id="37"/>
    <w:bookmarkStart w:id="38" w:name="h.4-autorská-kontrola-a-zodpovednosť"/>
    <w:p>
      <w:pPr>
        <w:pStyle w:val="Heading2"/>
      </w:pPr>
      <w:r>
        <w:t xml:space="preserve">H.4 Autorská kontrola a zodpovednosť</w:t>
      </w:r>
    </w:p>
    <w:p>
      <w:pPr>
        <w:pStyle w:val="FirstParagraph"/>
      </w:pPr>
      <w:r>
        <w:t xml:space="preserve">Všetky metodologické rozhodnutia, výber a interpretácia odbornej literatúry, analytické postupy, interpretácia výsledkov, diskusia aj finálne znenie textu boli priebežne kriticky posúdené, upravené a schválené autorom práce, ktorý za ich obsah nesie plnú zodpovednosť.</w:t>
      </w:r>
    </w:p>
    <w:p>
      <w:pPr>
        <w:pStyle w:val="BodyText"/>
      </w:pPr>
      <w:r>
        <w:t xml:space="preserve">Výstupy generatívnej AI neboli preberané automaticky ani nekriticky. Každý návrh bol individuálne posúdený autorom a podľa potreby upravený, doplnený alebo zamietnutý.</w:t>
      </w:r>
    </w:p>
    <w:bookmarkEnd w:id="38"/>
    <w:bookmarkStart w:id="39" w:name="X8df12cb565ef81b81177ae8f2eeb957795991b1"/>
    <w:p>
      <w:pPr>
        <w:pStyle w:val="Heading2"/>
      </w:pPr>
      <w:r>
        <w:t xml:space="preserve">H.5 Typické druhy zadaní smerovaných na AI nástroje</w:t>
      </w:r>
    </w:p>
    <w:p>
      <w:pPr>
        <w:pStyle w:val="FirstParagraph"/>
      </w:pPr>
      <w:r>
        <w:t xml:space="preserve">Typické zadania smerované na generatívnu AI zahŕňali najmä:</w:t>
      </w:r>
    </w:p>
    <w:p>
      <w:pPr>
        <w:pStyle w:val="Compact"/>
        <w:numPr>
          <w:ilvl w:val="0"/>
          <w:numId w:val="1012"/>
        </w:numPr>
      </w:pPr>
      <w:r>
        <w:t xml:space="preserve">preformulovanie textu do akademického a terminologicky konzistentnejšieho štýlu;</w:t>
      </w:r>
    </w:p>
    <w:p>
      <w:pPr>
        <w:pStyle w:val="Compact"/>
        <w:numPr>
          <w:ilvl w:val="0"/>
          <w:numId w:val="1012"/>
        </w:numPr>
      </w:pPr>
      <w:r>
        <w:t xml:space="preserve">návrhy presnejšej, plynulejšej alebo kratšej formulácie vybraných viet a odsekov;</w:t>
      </w:r>
    </w:p>
    <w:p>
      <w:pPr>
        <w:pStyle w:val="Compact"/>
        <w:numPr>
          <w:ilvl w:val="0"/>
          <w:numId w:val="1012"/>
        </w:numPr>
      </w:pPr>
      <w:r>
        <w:t xml:space="preserve">kontrolu vnútornej logiky textu a nadväznosti medzi časťami IMRaD rukopisu;</w:t>
      </w:r>
    </w:p>
    <w:p>
      <w:pPr>
        <w:pStyle w:val="Compact"/>
        <w:numPr>
          <w:ilvl w:val="0"/>
          <w:numId w:val="1012"/>
        </w:numPr>
      </w:pPr>
      <w:r>
        <w:t xml:space="preserve">návrhy štruktúry vybraných častí práce a príloh;</w:t>
      </w:r>
    </w:p>
    <w:p>
      <w:pPr>
        <w:pStyle w:val="Compact"/>
        <w:numPr>
          <w:ilvl w:val="0"/>
          <w:numId w:val="1012"/>
        </w:numPr>
      </w:pPr>
      <w:r>
        <w:t xml:space="preserve">technickú pomoc pri správe pracovného repozitára, appendixov, exportov do Wordu a pomocných build workflowov.</w:t>
      </w:r>
    </w:p>
    <w:bookmarkEnd w:id="39"/>
    <w:bookmarkEnd w:id="40"/>
    <w:bookmarkStart w:id="41" w:name="poznámka-k-ďalšiemu-kroku"/>
    <w:p>
      <w:pPr>
        <w:pStyle w:val="Heading1"/>
      </w:pPr>
      <w:r>
        <w:t xml:space="preserve">Poznámka k ďalšiemu kroku</w:t>
      </w:r>
    </w:p>
    <w:p>
      <w:pPr>
        <w:pStyle w:val="FirstParagraph"/>
      </w:pPr>
      <w:r>
        <w:t xml:space="preserve">Tento súbor je zámerne písaný ako medzivrstva medzi interným framingom v</w:t>
      </w:r>
      <w:r>
        <w:t xml:space="preserve"> </w:t>
      </w:r>
      <w:r>
        <w:rPr>
          <w:rStyle w:val="VerbatimChar"/>
        </w:rPr>
        <w:t xml:space="preserve">manuscript/70_appendices.md</w:t>
      </w:r>
      <w:r>
        <w:t xml:space="preserve"> </w:t>
      </w:r>
      <w:r>
        <w:t xml:space="preserve">a finálnym Word appendixom. Pri poslednom prechode do Wordu bude treba:</w:t>
      </w:r>
    </w:p>
    <w:p>
      <w:pPr>
        <w:pStyle w:val="Compact"/>
        <w:numPr>
          <w:ilvl w:val="0"/>
          <w:numId w:val="1013"/>
        </w:numPr>
      </w:pPr>
      <w:r>
        <w:t xml:space="preserve">skrátiť technické formulácie na fakultne prirodzenejší prose,</w:t>
      </w:r>
    </w:p>
    <w:p>
      <w:pPr>
        <w:pStyle w:val="Compact"/>
        <w:numPr>
          <w:ilvl w:val="0"/>
          <w:numId w:val="1013"/>
        </w:numPr>
      </w:pPr>
      <w:r>
        <w:t xml:space="preserve">doplniť finálne názvy tabuliek a obrázkov podľa posledného analytického run-u,</w:t>
      </w:r>
    </w:p>
    <w:p>
      <w:pPr>
        <w:pStyle w:val="Compact"/>
        <w:numPr>
          <w:ilvl w:val="0"/>
          <w:numId w:val="1013"/>
        </w:numPr>
      </w:pPr>
      <w:r>
        <w:t xml:space="preserve">rozhodnúť, či príloha D ostane celá, alebo sa zúži len na jeden doplnkový analytický blok,</w:t>
      </w:r>
    </w:p>
    <w:p>
      <w:pPr>
        <w:pStyle w:val="Compact"/>
        <w:numPr>
          <w:ilvl w:val="0"/>
          <w:numId w:val="1013"/>
        </w:numPr>
      </w:pPr>
      <w:r>
        <w:t xml:space="preserve">pri prílohe H doplniť finálne názvy použitých nástrojov alebo verzií len vtedy, ak to bude škola alebo finálny odovzdávací formulár výslovne vyžadovať.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k-S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sk-SK</dc:language>
  <cp:keywords/>
  <dcterms:created xsi:type="dcterms:W3CDTF">2026-04-21T18:33:09Z</dcterms:created>
  <dcterms:modified xsi:type="dcterms:W3CDTF">2026-04-21T18:33:09Z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