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Override PartName="/word/media/rId64.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9" w:name="preferovaný-názov"/>
    <w:p>
      <w:pPr>
        <w:pStyle w:val="Heading1"/>
      </w:pPr>
      <w:r>
        <w:t xml:space="preserve">Preferovaný názov</w:t>
      </w:r>
    </w:p>
    <w:p>
      <w:pPr>
        <w:pStyle w:val="FirstParagraph"/>
      </w:pPr>
      <w:r>
        <w:rPr>
          <w:b/>
          <w:bCs/>
        </w:rPr>
        <w:t xml:space="preserve">Kvalita simulovaných klinických rozhovorov s depresívnou symptomatikou generovaných veľkým jazykovým modelom</w:t>
      </w:r>
    </w:p>
    <w:bookmarkEnd w:id="9"/>
    <w:bookmarkStart w:id="12" w:name="alternatívne-kratšie-varianty"/>
    <w:p>
      <w:pPr>
        <w:pStyle w:val="Heading1"/>
      </w:pPr>
      <w:r>
        <w:t xml:space="preserve">Alternatívne kratšie varianty</w:t>
      </w:r>
    </w:p>
    <w:bookmarkStart w:id="10" w:name="varianta-a"/>
    <w:p>
      <w:pPr>
        <w:pStyle w:val="Heading2"/>
      </w:pPr>
      <w:r>
        <w:t xml:space="preserve">Varianta A</w:t>
      </w:r>
    </w:p>
    <w:p>
      <w:pPr>
        <w:pStyle w:val="FirstParagraph"/>
      </w:pPr>
      <w:r>
        <w:rPr>
          <w:b/>
          <w:bCs/>
        </w:rPr>
        <w:t xml:space="preserve">Odborné hodnotenie simulovaných klinických rozhovorov s depresívnou symptomatikou generovaných veľkým jazykovým modelom</w:t>
      </w:r>
    </w:p>
    <w:bookmarkEnd w:id="10"/>
    <w:bookmarkStart w:id="11" w:name="varianta-b"/>
    <w:p>
      <w:pPr>
        <w:pStyle w:val="Heading2"/>
      </w:pPr>
      <w:r>
        <w:t xml:space="preserve">Varianta B</w:t>
      </w:r>
    </w:p>
    <w:p>
      <w:pPr>
        <w:pStyle w:val="FirstParagraph"/>
      </w:pPr>
      <w:r>
        <w:rPr>
          <w:b/>
          <w:bCs/>
        </w:rPr>
        <w:t xml:space="preserve">Klinická vierohodnosť simulovaných klinických rozhovorov s depresívnou symptomatikou generovaných veľkým jazykovým modelom</w:t>
      </w:r>
    </w:p>
    <w:bookmarkEnd w:id="11"/>
    <w:bookmarkEnd w:id="12"/>
    <w:bookmarkStart w:id="13" w:name="návrh-abstraktu-sk"/>
    <w:p>
      <w:pPr>
        <w:pStyle w:val="Heading1"/>
      </w:pPr>
      <w:r>
        <w:t xml:space="preserve">Návrh abstraktu SK</w:t>
      </w:r>
    </w:p>
    <w:p>
      <w:pPr>
        <w:pStyle w:val="FirstParagraph"/>
      </w:pPr>
      <w:r>
        <w:t xml:space="preserve">Diplomová práca sa zaoberá kvalitou simulovaných klinických rozhovorov s depresívnou symptomatikou generovaných veľkým jazykovým modelom. Cieľom práce bolo navrhnúť a empiricky overiť simulačný rámec prepájajúci východiskové scenáre, riadenie generovania, tvorbu textových prepisov rozhovorov a ich odborné hodnotenie. Hlavný analyzovaný súbor tvorilo 199 hodnotení 72 prepisov rozhovorov odvodených z 12 východiskových scenárov, na ktorých sa podieľalo 6 hodnotiteľov; hlavnému zberu predchádzala samostatná expertná obsahová kontrola hodnotiaceho nástroja a scenárov. Analytická stratégia kombinovala deskriptívne ukazovatele, posúdenie vnútornej konzistencie, lineárne a ordinálne zmiešané modely a ukazovatele odchýlky voči kotvám východiskových scenárov na úrovni prepisu rozhovoru. 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Kľúčovým limitom zostala vrstva hodnotiteľov vrátane nevyplnených ICC odhadov a stlačených rozdelení viacerých ukazovateľov. Práca prispieva k metodike hodnotenia AI-generovaných simulačných materiálov a naznačuje, že takéto rozhovory môžu slúžiť ako pilotný doplnkový materiál pre psychologické vzdelávanie, tréning a ďalší metodologický výskum.</w:t>
      </w:r>
    </w:p>
    <w:p>
      <w:pPr>
        <w:pStyle w:val="BodyText"/>
      </w:pPr>
      <w:r>
        <w:rPr>
          <w:b/>
          <w:bCs/>
        </w:rPr>
        <w:t xml:space="preserve">Kľúčové slová:</w:t>
      </w:r>
      <w:r>
        <w:t xml:space="preserve"> </w:t>
      </w:r>
      <w:r>
        <w:t xml:space="preserve">veľký jazykový model, generatívna umelá inteligencia, depresívna symptomatika, simulované klinické rozhovory, kvalita, odborné hodnotenie</w:t>
      </w:r>
    </w:p>
    <w:bookmarkEnd w:id="13"/>
    <w:bookmarkStart w:id="14" w:name="draft-abstract-en"/>
    <w:p>
      <w:pPr>
        <w:pStyle w:val="Heading1"/>
      </w:pPr>
      <w:r>
        <w:t xml:space="preserve">Draft abstract EN</w:t>
      </w:r>
    </w:p>
    <w:p>
      <w:pPr>
        <w:pStyle w:val="FirstParagraph"/>
      </w:pPr>
      <w:r>
        <w:t xml:space="preserve">This master’s thesis examines the quality of simulated clinical interviews featuring depressive symptomatology generated by a large language model. The aim of the thesis was to design and empirically evaluate a simulation framework linking anchored seed scenarios, generation control, transcript production, and expert rating. The main analytical corpus comprised 199 ratings of 72 interview transcripts derived from 12 seed scenarios and assessed by 6 raters; the main study was preceded by a separate expert content review of the rating framework and scenarios. The analytical strategy combined descriptive statistics, internal consistency estimates, linear and ordinal mixed models, and transcript-level indicators of deviation from scenario anchors. The results showed that the transcripts were, on average, rated as rather clinically credible, relatively natural in language, and rather suitable for training purposes, while defects remained in the lower range. At the same time, no clear and robust evidence emerged that structured clinical guidance or the response profile of the simulated patient systematically improved the main outcomes or anchor alignment. A key limitation remained the rater layer, including non-reportable ICC estimates and compressed distributions for several outcomes. The thesis contributes to the methodology of evaluating AI-generated simulation materials and suggests that such interviews may serve as a pilot supplementary resource for psychological education, training, and further methodological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Start w:id="25" w:name="úvod"/>
    <w:p>
      <w:pPr>
        <w:pStyle w:val="Heading1"/>
      </w:pPr>
      <w:r>
        <w:t xml:space="preserve">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rozhovorov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klinický rozhovor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b/>
          <w:bCs/>
        </w:rPr>
        <w:t xml:space="preserve">východiskový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postup. V technickej vrstve pracovného postupu sa môže objaviť aj označenie</w:t>
      </w:r>
      <w:r>
        <w:t xml:space="preserve"> </w:t>
      </w:r>
      <w:r>
        <w:rPr>
          <w:rStyle w:val="VerbatimChar"/>
        </w:rPr>
        <w:t xml:space="preserve">seed scenár</w:t>
      </w:r>
      <w:r>
        <w:t xml:space="preserve">, no v hlavnom texte práce používam slovenské pomenovanie</w:t>
      </w:r>
      <w:r>
        <w:t xml:space="preserve"> </w:t>
      </w:r>
      <w:r>
        <w:rPr>
          <w:b/>
          <w:bCs/>
        </w:rPr>
        <w:t xml:space="preserve">východiskový scenár</w:t>
      </w:r>
      <w:r>
        <w:t xml:space="preserve">. Východiskový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východiskovom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rozhovorov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5" w:name="Xc2ede51baebe4324326c0e86735ef1a22b86076"/>
    <w:p>
      <w:pPr>
        <w:pStyle w:val="Heading2"/>
      </w:pPr>
      <w:r>
        <w:t xml:space="preserve">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východiskových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5"/>
    <w:bookmarkStart w:id="16" w:name="Xa5a8eb65e96f488bffd077d524bd56327626700"/>
    <w:p>
      <w:pPr>
        <w:pStyle w:val="Heading2"/>
      </w:pPr>
      <w:r>
        <w:t xml:space="preserve">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6"/>
    <w:bookmarkStart w:id="17" w:name="Xb285f568a89ddc212d5fc0b1d7d8faca09a5a15"/>
    <w:p>
      <w:pPr>
        <w:pStyle w:val="Heading2"/>
      </w:pPr>
      <w:r>
        <w:t xml:space="preserve">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7"/>
    <w:bookmarkStart w:id="18" w:name="X5a15dc1c29b843b4dd55f7f290167f62ee2214f"/>
    <w:p>
      <w:pPr>
        <w:pStyle w:val="Heading2"/>
      </w:pPr>
      <w:r>
        <w:t xml:space="preserve">Potreba expertnej evaluácie kvality AI-generovaných rozhovorov</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rozhovorov v textovej podobe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rozhovorov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8"/>
    <w:bookmarkStart w:id="19" w:name="pojmový-rámec-skúmaných-premenných"/>
    <w:p>
      <w:pPr>
        <w:pStyle w:val="Heading2"/>
      </w:pPr>
      <w:r>
        <w:t xml:space="preserve">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rozhovoru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rozhovoru</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19"/>
    <w:bookmarkStart w:id="20" w:name="výskumná-medzera-a-prínos-práce"/>
    <w:p>
      <w:pPr>
        <w:pStyle w:val="Heading2"/>
      </w:pPr>
      <w:r>
        <w:t xml:space="preserve">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0"/>
    <w:bookmarkStart w:id="23" w:name="cieľ-výskumu-výskumné-otázky-a-hypotézy"/>
    <w:p>
      <w:pPr>
        <w:pStyle w:val="Heading2"/>
      </w:pPr>
      <w:r>
        <w:t xml:space="preserve">Cieľ výskumu, výskumné otázky a hypotézy</w:t>
      </w:r>
    </w:p>
    <w:bookmarkStart w:id="21" w:name="cieľ-výskumu"/>
    <w:p>
      <w:pPr>
        <w:pStyle w:val="Heading3"/>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1"/>
    <w:bookmarkStart w:id="22" w:name="výskumné-otázky-a-hypotézy"/>
    <w:p>
      <w:pPr>
        <w:pStyle w:val="Heading3"/>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2"/>
    <w:bookmarkEnd w:id="23"/>
    <w:bookmarkStart w:id="24" w:name="prechod-k-metodickej-časti"/>
    <w:p>
      <w:pPr>
        <w:pStyle w:val="Heading2"/>
      </w:pPr>
      <w:r>
        <w:t xml:space="preserve">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4"/>
    <w:bookmarkEnd w:id="25"/>
    <w:bookmarkStart w:id="63" w:name="metóda"/>
    <w:p>
      <w:pPr>
        <w:pStyle w:val="Heading1"/>
      </w:pPr>
      <w:r>
        <w:t xml:space="preserve">Metóda</w:t>
      </w:r>
    </w:p>
    <w:bookmarkStart w:id="26" w:name="charakter-výskumu-a-výskumný-dizajn"/>
    <w:p>
      <w:pPr>
        <w:pStyle w:val="Heading2"/>
      </w:pPr>
      <w:r>
        <w:t xml:space="preserve">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rozhovorov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východiskových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východiskovými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východiskové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6"/>
    <w:bookmarkStart w:id="30" w:name="X0a61e5c5aadfecd8865d9702016aa4f2dffbf32"/>
    <w:p>
      <w:pPr>
        <w:pStyle w:val="Heading2"/>
      </w:pPr>
      <w:r>
        <w:t xml:space="preserve">Základný súbor, výskumný súbor a jednotka analýzy</w:t>
      </w:r>
    </w:p>
    <w:bookmarkStart w:id="27" w:name="základný-súbor"/>
    <w:p>
      <w:pPr>
        <w:pStyle w:val="Heading3"/>
      </w:pPr>
      <w:r>
        <w:t xml:space="preserve">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rozhovorov,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7"/>
    <w:bookmarkStart w:id="28" w:name="výskumný-súbor"/>
    <w:p>
      <w:pPr>
        <w:pStyle w:val="Heading3"/>
      </w:pPr>
      <w:r>
        <w:t xml:space="preserve">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28"/>
    <w:bookmarkStart w:id="29" w:name="jednotka-analýzy"/>
    <w:p>
      <w:pPr>
        <w:pStyle w:val="Heading3"/>
      </w:pPr>
      <w:r>
        <w:t xml:space="preserve">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východiskovými scenármi a hodnotiteľmi a je metodicky vhodný pre následné modelovanie pomocou zmiešaných modelov. V praktickej rovine to znamená, že analýza nepracuje len s priemerom „na prepis rozhovoru“, ale s každým jednotlivým hodnotením ako s pozorovaním, ktoré je zároveň vnorené do hodnotiteľa aj do podnetového materiálu. Tento dizajn je silnejší než jednoduché agregovanie, pretože uchováva viac informácie o variabilite expertnej evaluácie.</w:t>
      </w:r>
    </w:p>
    <w:bookmarkEnd w:id="29"/>
    <w:bookmarkEnd w:id="30"/>
    <w:bookmarkStart w:id="31" w:name="podnetový-materiál"/>
    <w:p>
      <w:pPr>
        <w:pStyle w:val="Heading2"/>
      </w:pPr>
      <w:r>
        <w:t xml:space="preserve">Podnetový materiál</w:t>
      </w:r>
    </w:p>
    <w:p>
      <w:pPr>
        <w:pStyle w:val="FirstParagraph"/>
      </w:pPr>
      <w:r>
        <w:t xml:space="preserve">Podnetový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východiskových scenárov</w:t>
      </w:r>
      <w:r>
        <w:t xml:space="preserve"> </w:t>
      </w:r>
      <w:r>
        <w:t xml:space="preserve">(S01 až S12), ktoré predstavovali klinicky ukotvené modelové profily depresívnej symptomatiky. Východiskové scenáre obsahovali demografický a kontextový rámec, symptomatické kotvy pre oblasti A1 až A9, pravidlá postupného odhaľovania ťažkostí, štýlové nastavenia a bezpečnostné limity odpovedí. Takto definované východiskové scenáre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Finálne experimentálne nastavenie pozostávalo zo šiestich variantov definovaných v dátovom exporte ako G0/G1 × R1/R2/R3, kde G0/G1 označovalo neprítomnosť alebo prítomnosť štruktúrujúceho klinického usmernenia a R1/R2/R3 predstavovalo tri úrovne štýlu odpovedania simulovaného pacienta. Aby sa označenie štýlu odpovedania nebilo s defektovými položkami R1 až R5, v hlavnom texte práce tento faktor označujeme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P1 = zdržanlivý štýl odpovedania simulovaného pacienta,</w:t>
      </w:r>
    </w:p>
    <w:p>
      <w:pPr>
        <w:pStyle w:val="Compact"/>
        <w:numPr>
          <w:ilvl w:val="0"/>
          <w:numId w:val="1003"/>
        </w:numPr>
      </w:pPr>
      <w:r>
        <w:t xml:space="preserve">P2 = vyvážený štýl odpovedania simulovaného pacienta,</w:t>
      </w:r>
    </w:p>
    <w:p>
      <w:pPr>
        <w:pStyle w:val="Compact"/>
        <w:numPr>
          <w:ilvl w:val="0"/>
          <w:numId w:val="1003"/>
        </w:numPr>
      </w:pPr>
      <w:r>
        <w:t xml:space="preserve">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protokol rozhovoru, rovnaký počet replík,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východiskovými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1"/>
    <w:bookmarkStart w:id="36" w:name="hodnotiaci-nástroj"/>
    <w:p>
      <w:pPr>
        <w:pStyle w:val="Heading2"/>
      </w:pPr>
      <w:r>
        <w:t xml:space="preserve">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2" w:name="štruktúra-blokov"/>
    <w:p>
      <w:pPr>
        <w:pStyle w:val="Heading3"/>
      </w:pPr>
      <w:r>
        <w:t xml:space="preserve">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sebapopisnú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kotvami východiskového scenára,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profil východiskového scenára,</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2"/>
    <w:bookmarkStart w:id="33" w:name="odpoveďové-formáty"/>
    <w:p>
      <w:pPr>
        <w:pStyle w:val="Heading3"/>
      </w:pPr>
      <w:r>
        <w:t xml:space="preserve">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3"/>
    <w:bookmarkStart w:id="34" w:name="status-psychometrických-vlastností"/>
    <w:p>
      <w:pPr>
        <w:pStyle w:val="Heading3"/>
      </w:pPr>
      <w:r>
        <w:t xml:space="preserve">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4"/>
    <w:bookmarkStart w:id="35" w:name="Xe0e8ce9e119dade236076ae6a0f060d514e9bf7"/>
    <w:p>
      <w:pPr>
        <w:pStyle w:val="Heading3"/>
      </w:pPr>
      <w:r>
        <w:t xml:space="preserve">Predbežná expertná obsahová kontrola položiek a východiskových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východiskových scenárov. V tejto vrstve experti neposudzovali hotové prepisy rozhovorov, ale samotné položky nástroja a klinicky ukotvené východiskové scenáre ešte pred ich finálnym použitím v hlavnom hodnotení. Pri položkách sa sledovala ich relevancia, zrozumiteľnosť a potrebnosť pre finálny nástroj; pri východiskových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východiskových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nastavenia východiskových scenárov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položkové podiely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5"/>
    <w:bookmarkEnd w:id="36"/>
    <w:bookmarkStart w:id="45" w:name="X49473526ff4e821f0a75eb61389792cab6d2f84"/>
    <w:p>
      <w:pPr>
        <w:pStyle w:val="Heading2"/>
      </w:pPr>
      <w:r>
        <w:t xml:space="preserve">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7" w:name="nezávislé-premenné"/>
    <w:p>
      <w:pPr>
        <w:pStyle w:val="Heading3"/>
      </w:pPr>
      <w:r>
        <w:t xml:space="preserve">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pracovné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7"/>
    <w:bookmarkStart w:id="38" w:name="blokovacie-a-náhodné-faktory"/>
    <w:p>
      <w:pPr>
        <w:pStyle w:val="Heading3"/>
      </w:pPr>
      <w:r>
        <w:t xml:space="preserve">Blokovacie a náhodné faktory</w:t>
      </w:r>
    </w:p>
    <w:p>
      <w:pPr>
        <w:pStyle w:val="FirstParagraph"/>
      </w:pPr>
      <w:r>
        <w:rPr>
          <w:b/>
          <w:bCs/>
        </w:rPr>
        <w:t xml:space="preserve">Východiskový scenár</w:t>
      </w:r>
      <w:r>
        <w:t xml:space="preserve"> </w:t>
      </w:r>
      <w:r>
        <w:t xml:space="preserve">predstavoval blokovací faktor, ktorý zachytával klinický základ modelového prípadu. Východiskový scenár nebol predmetom hypotetického záujmu ako nezávislá premenná v psychologickom zmysle, ale metodicky slúžil na zachytenie systematickej variability medzi prípadmi. Pojem blokovací faktor tu znamená, že pri modelovaní oddeľujeme rozdiely medzi východiskovými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38"/>
    <w:bookmarkStart w:id="39" w:name="primárne-závislé-premenné"/>
    <w:p>
      <w:pPr>
        <w:pStyle w:val="Heading3"/>
      </w:pPr>
      <w:r>
        <w:t xml:space="preserve">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rozhovoru.</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39"/>
    <w:bookmarkStart w:id="40" w:name="X6c1ca53a6b8b72df38f76fc712ab8bdd56ddfaa"/>
    <w:p>
      <w:pPr>
        <w:pStyle w:val="Heading3"/>
      </w:pPr>
      <w:r>
        <w:t xml:space="preserve">Sekundárne premenné a ukazovatele odchýlky</w:t>
      </w:r>
    </w:p>
    <w:p>
      <w:pPr>
        <w:pStyle w:val="FirstParagraph"/>
      </w:pPr>
      <w:r>
        <w:t xml:space="preserve">Sekundárnu vrstvu premenných tvorili dve navzájom odlišné, ale obsahovo prepojené časti. Prvou sú položky A1 až A9, ktoré predstavujú PHQ-9 symptomatické metadata importované zo sebapopisnej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odchýlky, ktoré už majú jasný empirický význam vzhľadom na profil kotiev východiskového scenára.</w:t>
      </w:r>
    </w:p>
    <w:p>
      <w:pPr>
        <w:pStyle w:val="BodyText"/>
      </w:pPr>
      <w:r>
        <w:t xml:space="preserve">Keďže pre každý východiskový scenár boli vopred definované kotvové hodnoty, bolo možné odvodiť aj</w:t>
      </w:r>
      <w:r>
        <w:t xml:space="preserve"> </w:t>
      </w:r>
      <w:r>
        <w:rPr>
          <w:b/>
          <w:bCs/>
        </w:rPr>
        <w:t xml:space="preserve">ukazovatele odchýlky</w:t>
      </w:r>
      <w:r>
        <w:t xml:space="preserve"> </w:t>
      </w:r>
      <w:r>
        <w:t xml:space="preserve">vyjadrujúce mieru zhody rozhovoru s cieľovým profilom. Pri A1 až A9 ide o zhodu na úrovni prepisu rozhovoru medzi importovaným PHQ-9 profilom a kotvou východiskového scenára. Pri S1 a S2 ide o expertne hodnotené položky závažnosti a funkčného dopadu; keďže kotvy východiskového scenára aj ľudské hodnotenia používajú rovnakú</w:t>
      </w:r>
      <w:r>
        <w:t xml:space="preserve"> </w:t>
      </w:r>
      <w:r>
        <w:rPr>
          <w:rStyle w:val="VerbatimChar"/>
        </w:rPr>
        <w:t xml:space="preserve">1-5</w:t>
      </w:r>
      <w:r>
        <w:t xml:space="preserve"> </w:t>
      </w:r>
      <w:r>
        <w:t xml:space="preserve">škálu, ukazovatele odchýlky sa počítajú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východiskovým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kotvy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týmto kotvám.</w:t>
      </w:r>
    </w:p>
    <w:bookmarkEnd w:id="40"/>
    <w:bookmarkStart w:id="41" w:name="X3928f5f7e921997959e19c2268acca1ef497c7e"/>
    <w:p>
      <w:pPr>
        <w:pStyle w:val="Heading3"/>
      </w:pPr>
      <w:r>
        <w:t xml:space="preserve">Premenné kontroly kvality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1"/>
    <w:bookmarkStart w:id="42" w:name="doplnkové-premenné"/>
    <w:p>
      <w:pPr>
        <w:pStyle w:val="Heading3"/>
      </w:pPr>
      <w:r>
        <w:t xml:space="preserve">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2"/>
    <w:bookmarkStart w:id="43" w:name="konzistentnosť-názvov-premenných"/>
    <w:p>
      <w:pPr>
        <w:pStyle w:val="Heading3"/>
      </w:pPr>
      <w:r>
        <w:t xml:space="preserve">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analytickej kódovej knihy a z R skriptu ostávajú súčasťou interného pracovného postupu, nie finálneho jazyka práce.</w:t>
      </w:r>
    </w:p>
    <w:bookmarkEnd w:id="43"/>
    <w:bookmarkStart w:id="44" w:name="X000d7608c95c3d4b14680d0ce74e4e0a4d29108"/>
    <w:p>
      <w:pPr>
        <w:pStyle w:val="Heading3"/>
      </w:pPr>
      <w:r>
        <w:t xml:space="preserve">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ukazovatele a ukazovatele odchýlky</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4"/>
    <w:bookmarkEnd w:id="45"/>
    <w:bookmarkStart w:id="49" w:name="empirické-výskumné-otázky-a-hypotézy"/>
    <w:p>
      <w:pPr>
        <w:pStyle w:val="Heading2"/>
      </w:pPr>
      <w:r>
        <w:t xml:space="preserve">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6" w:name="X12734c8bcc87770303d8609280e6ad720e4208e"/>
    <w:p>
      <w:pPr>
        <w:pStyle w:val="Heading3"/>
      </w:pPr>
      <w:r>
        <w:t xml:space="preserve">Empirické výskumné otázky (rekapitulácia z Úvodu, 1.7)</w:t>
      </w:r>
    </w:p>
    <w:p>
      <w:pPr>
        <w:pStyle w:val="FirstParagraph"/>
      </w:pPr>
      <w:r>
        <w:rPr>
          <w:b/>
          <w:bCs/>
        </w:rPr>
        <w:t xml:space="preserve">Blok A — globálna kvalita rozhovoru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rozhovoroch o depresívnej symptomatike?</w:t>
      </w:r>
    </w:p>
    <w:p>
      <w:pPr>
        <w:pStyle w:val="BodyText"/>
      </w:pPr>
      <w:r>
        <w:rPr>
          <w:b/>
          <w:bCs/>
        </w:rPr>
        <w:t xml:space="preserve">VO2.</w:t>
      </w:r>
      <w:r>
        <w:t xml:space="preserve"> </w:t>
      </w:r>
      <w:r>
        <w:t xml:space="preserve">Aká je priemerná absolútna chyba symptomatických domén A1 až A9 na úrovni prepisu rozhovoru voči kotvám východiskových scenárov a aké sú rozdelenia expertných hodnotení S1 a S2, resp. ich priamych chybových skóre voči týmto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ukazovateľoch odchýlky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rozhovoru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6"/>
    <w:bookmarkStart w:id="47" w:name="empirické-hypotézy-jadro-h1h5"/>
    <w:p>
      <w:pPr>
        <w:pStyle w:val="Heading3"/>
      </w:pPr>
      <w:r>
        <w:t xml:space="preserve">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rozhovoru a symptomatickej primeranosti (VO1, VO2)</w:t>
      </w:r>
    </w:p>
    <w:p>
      <w:pPr>
        <w:pStyle w:val="BodyText"/>
      </w:pPr>
      <w:r>
        <w:rPr>
          <w:b/>
          <w:bCs/>
        </w:rPr>
        <w:t xml:space="preserve">H1.</w:t>
      </w:r>
      <w:r>
        <w:t xml:space="preserve"> </w:t>
      </w:r>
      <w:r>
        <w:t xml:space="preserve">Priemerná hodnota indexu klinickej vierohodnosti bude vyššia pri rozhovoroch vytvorených so štruktúrujúcim klinickým usmernením než pri rozhovoroch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rozhovoroch vytvorených so štruktúrujúcim klinickým usmernením posunutá k vyšším kategóriám než pri rozhovoroch vytvorených bez tohto usmernenia.</w:t>
      </w:r>
    </w:p>
    <w:p>
      <w:pPr>
        <w:pStyle w:val="BodyText"/>
      </w:pPr>
      <w:r>
        <w:rPr>
          <w:b/>
          <w:bCs/>
        </w:rPr>
        <w:t xml:space="preserve">H3.</w:t>
      </w:r>
      <w:r>
        <w:t xml:space="preserve"> </w:t>
      </w:r>
      <w:r>
        <w:t xml:space="preserve">Priemerná hodnota indexu defektov bude nižšia pri rozhovoroch vytvorených so štruktúrujúcim klinickým usmernením než pri rozhovoroch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kotvám východiskových scenárov bude nižšia pri rozhovoroch vytvorených so štruktúrujúcim klinickým usmernením než pri rozhovoroch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rozhovoroch vytvorených so štruktúrujúcim klinickým usmernením posunutá k vyšším kategóriám než pri rozhovoroch vytvorených bez tohto usmernenia.</w:t>
      </w:r>
    </w:p>
    <w:bookmarkEnd w:id="47"/>
    <w:bookmarkStart w:id="48" w:name="X430cafe8f9a5b5e6eaedee98f951cc8ceb7fcce"/>
    <w:p>
      <w:pPr>
        <w:pStyle w:val="Heading3"/>
      </w:pPr>
      <w:r>
        <w:t xml:space="preserve">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rozhovoroch s vyváženým alebo rozvinutým štýlom odpovedania simulovaného pacienta (P2, P3) než pri rozhovoroch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kotvám východiskových scenárov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48"/>
    <w:bookmarkEnd w:id="49"/>
    <w:bookmarkStart w:id="53" w:name="procedúra-výskumu"/>
    <w:p>
      <w:pPr>
        <w:pStyle w:val="Heading2"/>
      </w:pPr>
      <w:r>
        <w:t xml:space="preserve">Procedúra výskumu</w:t>
      </w:r>
    </w:p>
    <w:bookmarkStart w:id="50" w:name="príprava-podnetového-materiálu"/>
    <w:p>
      <w:pPr>
        <w:pStyle w:val="Heading3"/>
      </w:pPr>
      <w:r>
        <w:t xml:space="preserve">Príprava podnetového materiálu</w:t>
      </w:r>
    </w:p>
    <w:p>
      <w:pPr>
        <w:pStyle w:val="FirstParagraph"/>
      </w:pPr>
      <w:r>
        <w:t xml:space="preserve">Najprv bol pripravený finálny balík východiskových scenárov a experimentálnych variantov generovania. Východiskové scenáre vznikali iteratívne a po každom revíznom kole sa spresňovali ich symptomatické kotvy, formulácie aj kontrolné pravidlá na základe predbežnej expertnej a technickej kontroly. Následne boli vygenerované textové prepisy rozhovorov podľa jednotného protokolu rozhovoru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0"/>
    <w:bookmarkStart w:id="51" w:name="priebeh-hodnotenia"/>
    <w:p>
      <w:pPr>
        <w:pStyle w:val="Heading3"/>
      </w:pPr>
      <w:r>
        <w:t xml:space="preserve">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vyvážené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rozhovoru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1"/>
    <w:bookmarkStart w:id="52" w:name="export-a-štruktúra-dát"/>
    <w:p>
      <w:pPr>
        <w:pStyle w:val="Heading3"/>
      </w:pPr>
      <w:r>
        <w:t xml:space="preserve">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východiskového scenára,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v interných analytických súboroch sa môžu objavovať aj skrátené kódy G0/G1 a P1/P2/P3, kým v rukopise tieto úrovne označujeme slovenskými pomenovaniami.</w:t>
      </w:r>
    </w:p>
    <w:bookmarkEnd w:id="52"/>
    <w:bookmarkEnd w:id="53"/>
    <w:bookmarkStart w:id="61" w:name="spracovanie-dát-a-štatistická-analýza"/>
    <w:p>
      <w:pPr>
        <w:pStyle w:val="Heading2"/>
      </w:pPr>
      <w:r>
        <w:t xml:space="preserve">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krokov kontroly kvality a exportu.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4" w:name="predspracovanie-dát"/>
    <w:p>
      <w:pPr>
        <w:pStyle w:val="Heading3"/>
      </w:pPr>
      <w:r>
        <w:t xml:space="preserve">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východiskovým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kotvám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tieto kotvy aj ľudské hodnotenia používajú rovnakú</w:t>
      </w:r>
      <w:r>
        <w:t xml:space="preserve"> </w:t>
      </w:r>
      <w:r>
        <w:rPr>
          <w:rStyle w:val="VerbatimChar"/>
        </w:rPr>
        <w:t xml:space="preserve">1-5</w:t>
      </w:r>
      <w:r>
        <w:t xml:space="preserve"> </w:t>
      </w:r>
      <w:r>
        <w:t xml:space="preserve">škálu. Pri predspracovaní bolo zároveň overené, či nevznikli technické chýbajúce hodnoty, duplikované záznamy alebo nekompletné exporty.</w:t>
      </w:r>
    </w:p>
    <w:bookmarkEnd w:id="54"/>
    <w:bookmarkStart w:id="55" w:name="deskriptívna-analýza"/>
    <w:p>
      <w:pPr>
        <w:pStyle w:val="Heading3"/>
      </w:pPr>
      <w:r>
        <w:t xml:space="preserve">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sumarizácia kontroly kvality dátového súboru, najmä počet hodnotiteľov, počet prepisov rozhovorov, počet východiskových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východiskových scenárov. Reportovaný je počet expertov, počet posúdených položiek a východiskových scenárov, položkové priemery a podiely hodnotení</w:t>
      </w:r>
      <w:r>
        <w:t xml:space="preserve"> </w:t>
      </w:r>
      <w:r>
        <w:rPr>
          <w:rStyle w:val="VerbatimChar"/>
        </w:rPr>
        <w:t xml:space="preserve">3-4</w:t>
      </w:r>
      <w:r>
        <w:t xml:space="preserve"> </w:t>
      </w:r>
      <w:r>
        <w:t xml:space="preserve">pri položkách dotazníka, pri východiskových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5"/>
    <w:bookmarkStart w:id="56" w:name="analýza-vnútornej-konzistencie"/>
    <w:p>
      <w:pPr>
        <w:pStyle w:val="Heading3"/>
      </w:pPr>
      <w:r>
        <w:t xml:space="preserve">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6"/>
    <w:bookmarkStart w:id="57" w:name="zhoda-medzi-hodnotiteľmi"/>
    <w:p>
      <w:pPr>
        <w:pStyle w:val="Heading3"/>
      </w:pPr>
      <w:r>
        <w:t xml:space="preserve">Zhoda medzi hodnotiteľmi</w:t>
      </w:r>
    </w:p>
    <w:p>
      <w:pPr>
        <w:pStyle w:val="FirstParagraph"/>
      </w:pPr>
      <w:r>
        <w:rPr>
          <w:b/>
          <w:bCs/>
        </w:rPr>
        <w:t xml:space="preserve">Zhoda medzi hodnotiteľmi</w:t>
      </w:r>
      <w:r>
        <w:t xml:space="preserve"> </w:t>
      </w:r>
      <w:r>
        <w:t xml:space="preserve">bola vyhodnocovaná prostredníctvom</w:t>
      </w:r>
      <w:r>
        <w:t xml:space="preserve"> </w:t>
      </w:r>
      <w:r>
        <w:rPr>
          <w:b/>
          <w:bCs/>
        </w:rPr>
        <w:t xml:space="preserve">koeficientu vnútrotriednej korelácie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model s náhodnými efektmi pre priemerné merania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7"/>
    <w:bookmarkStart w:id="58" w:name="inferenčná-analýza"/>
    <w:p>
      <w:pPr>
        <w:pStyle w:val="Heading3"/>
      </w:pPr>
      <w:r>
        <w:t xml:space="preserve">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zmiešaných modelov</w:t>
      </w:r>
      <w:r>
        <w:t xml:space="preserve">, keďže jednotkou analýzy je hodnotenie, ktoré je zároveň viazané na hodnotiteľa aj na východiskový scenár a prepis rozhovoru. Zmiešané modely umožňujú súčasne modelovať fixné efekty experimentálnych faktorov a náhodnú variabilitu medzi hodnotiteľmi a východiskovými scenármi,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ukazovatele a ukazovatele odchýlky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štýl P1</w:t>
      </w:r>
      <w:r>
        <w:t xml:space="preserve">. Pri modeloch na úrovni hodnotení sa ako náhodné efekty zohľadňovali východiskový scenár a identita hodnotiteľa. Pri vetve ukazovateľov odchýlky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náhodný intercept len pre východiskový scenár.</w:t>
      </w:r>
    </w:p>
    <w:p>
      <w:pPr>
        <w:pStyle w:val="BodyText"/>
      </w:pPr>
      <w:r>
        <w:t xml:space="preserve">Pri lineárnych zmiešaných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doplnkové overenie robustnosti bude pri kompozitoch na úrovni jednotlivých hodnotení (najmä index klinickej vierohodnosti a index defektov) overený aj senzitívny model s dodatočným náhodným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 kumulatívneho typu</w:t>
      </w:r>
      <w:r>
        <w:t xml:space="preserve">,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analýzy jednoduchých efektov</w:t>
      </w:r>
      <w:r>
        <w:t xml:space="preserve"> </w:t>
      </w:r>
      <w:r>
        <w:t xml:space="preserve">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58"/>
    <w:bookmarkStart w:id="59" w:name="explorácia-doplnkových-premenných"/>
    <w:p>
      <w:pPr>
        <w:pStyle w:val="Heading3"/>
      </w:pPr>
      <w:r>
        <w:t xml:space="preserve">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profilu východiskového scenára.</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59"/>
    <w:bookmarkStart w:id="60" w:name="interpretácia-efektov"/>
    <w:p>
      <w:pPr>
        <w:pStyle w:val="Heading3"/>
      </w:pPr>
      <w:r>
        <w:t xml:space="preserve">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zmiešaným modelom.</w:t>
      </w:r>
    </w:p>
    <w:bookmarkEnd w:id="60"/>
    <w:bookmarkEnd w:id="61"/>
    <w:bookmarkStart w:id="62" w:name="etické-aspekty"/>
    <w:p>
      <w:pPr>
        <w:pStyle w:val="Heading2"/>
      </w:pPr>
      <w:r>
        <w:t xml:space="preserve">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východiskových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kedykoľvek ukončiť účasť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2"/>
    <w:bookmarkEnd w:id="63"/>
    <w:bookmarkStart w:id="70" w:name="X5b22d6c0c0243357f7bafd92202daae75e3b308"/>
    <w:p>
      <w:pPr>
        <w:pStyle w:val="Heading1"/>
      </w:pPr>
      <w:r>
        <w:t xml:space="preserve">Predbežná expertná obsahová kontrola hodnotiaceho nástroja a východiskových scenárov</w:t>
      </w:r>
    </w:p>
    <w:p>
      <w:pPr>
        <w:pStyle w:val="FirstParagraph"/>
      </w:pPr>
      <w:r>
        <w:t xml:space="preserve">Ešte pred hlavným hodnotením prepisov rozhovorov prebehla samostatná expertná obsahová kontrola autorského hodnotiaceho nástroja a východiskových scenárov. Do tejto vrstvy bolo zapojených 6 expertov s mediánom odbornej praxe 9 rokov (rozsah 4 až 25 rokov). Panel vytvoril 72 hodnotení položiek nástroja a 72 hodnotení východiskových scenárov, doplnených o kvalitatívne komentáre k ich formulácii a použiteľnosti.</w:t>
      </w:r>
    </w:p>
    <w:p>
      <w:pPr>
        <w:pStyle w:val="BodyText"/>
      </w:pPr>
      <w:r>
        <w:t xml:space="preserve">Pri položkách hodnotiaceho nástroja sa celkové priemery pohybovali približne od 2,78 do 3,72 na štvorbodovej škále. Najsilnejšie boli podporené globálne položky G1, G2 a G4, ako aj položky S1 a S2, ktoré sa týkali odhadu závažnosti a funkčného dopadu. Slabšie dopadli najmä defektové položky R2, R3 a najmä R5, teda položky zamerané na klišé, kontextový nesúlad a neprimeranú dramatizáciu. Naprieč celým nástrojom dosiahli priemerné hodnotenia relevancie 3,36, zrozumiteľnosti 3,46 a potrebnosti 3,46. Tabuľka S4 uvádza položkové hodnotenia expertov a Obrázok S3 ich zobrazuje vo forme tepelnej mapy.</w:t>
      </w:r>
    </w:p>
    <w:p>
      <w:pPr>
        <w:pStyle w:val="BodyText"/>
      </w:pPr>
      <w:r>
        <w:t xml:space="preserve">Pri východiskových scenároch sa celkové priemery pohybovali približne od 2,93 do 3,21, teda v pásme skôr priaznivého, ale nie bezvýhradne vysokého expertného hodnotenia. Najslabšie boli hodnotené najmä kritériá dostatku informácií pre generovanie rozhovoru a nestereotypnosti. Kvalitatívne komentáre preto často smerovali k potrebe doplniť proximálne spúšťače, konkrétnejší funkčný dopad, sociálnu oporu alebo jemnejšie odlíšenie depresívnej symptomatiky od vyhorenia a všeobecného stresového preťaženia. Tabuľka S5 sumarizuje expertmi hodnotené parametre jednotlivých scenárov a Obrázok S4 ukazuje ich rozloženie vo forme tepelnej mapy.</w:t>
      </w:r>
    </w:p>
    <w:p>
      <w:pPr>
        <w:pStyle w:val="BodyText"/>
      </w:pPr>
      <w:r>
        <w:t xml:space="preserve">Osobitne užitočný bol doplnkový odhad cieľovej závažnosti scenárov. Relatívne dobrá zhoda sa ukázala najmä pri scenároch 01, 02, 04, 06 a 11, zatiaľ čo výraznejší nesúlad sa objavil pri scenároch 08 a 10, ktoré experti vnímali ako závažnejšie, než bolo pôvodne zamýšľané. Táto vrstva preto nepredstavuje finálnu psychometrickú validáciu ani formálny Delphi proces, ale prakticky dôležitý predbežný filter pred hlavným zberom dát.</w:t>
      </w:r>
    </w:p>
    <w:p>
      <w:pPr>
        <w:pStyle w:val="BodyText"/>
      </w:pPr>
      <w:r>
        <w:rPr>
          <w:b/>
          <w:bCs/>
        </w:rPr>
        <w:t xml:space="preserve">Tabuľka S4</w:t>
      </w:r>
      <w:r>
        <w:br/>
      </w:r>
      <w:r>
        <w:rPr>
          <w:i/>
          <w:iCs/>
        </w:rPr>
        <w:t xml:space="preserve">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Potrebný follow-up</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True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True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True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True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False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False</w:t>
            </w:r>
          </w:p>
        </w:tc>
      </w:tr>
    </w:tbl>
    <w:p>
      <w:pPr>
        <w:pStyle w:val="BodyText"/>
      </w:pPr>
      <w:r>
        <w:rPr>
          <w:b/>
          <w:bCs/>
        </w:rPr>
        <w:t xml:space="preserve">Obrázok S3</w:t>
      </w:r>
      <w:r>
        <w:br/>
      </w:r>
      <w:r>
        <w:rPr>
          <w:i/>
          <w:iCs/>
        </w:rPr>
        <w:t xml:space="preserve">Tepelná mapa predbežnej expertnej kontroly položiek hodnotiaceho nástroja</w:t>
      </w:r>
    </w:p>
    <w:p>
      <w:pPr>
        <w:pStyle w:val="CaptionedFigure"/>
      </w:pPr>
      <w:r>
        <w:drawing>
          <ns1:inline>
            <ns1:extent cx="5334000" cy="4011254"/>
            <ns1:effectExtent b="0" l="0" r="0" t="0"/>
            <ns1:docPr descr="Obrázok S3" title="" id="65" name="Picture"/>
            <ns2:graphic>
              <ns2:graphicData uri="http://schemas.openxmlformats.org/drawingml/2006/picture">
                <ns3:pic>
                  <ns3:nvPicPr>
                    <ns3:cNvPr descr="/Users/pavol.bielik/dev/src/github.com/pbielik/diplomovka/figures/figure_s3_expert_review_items_heatmap.png" id="66" name="Picture"/>
                    <ns3:cNvPicPr>
                      <ns2:picLocks noChangeArrowheads="1" noChangeAspect="1"/>
                    </ns3:cNvPicPr>
                  </ns3:nvPicPr>
                  <ns3:blipFill>
                    <ns2:blip ns4:embed="rId64"/>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ImageCaption"/>
      </w:pPr>
      <w:r>
        <w:t xml:space="preserve">Obrázok S3</w:t>
      </w:r>
    </w:p>
    <w:p>
      <w:pPr>
        <w:pStyle w:val="BodyText"/>
      </w:pPr>
      <w:r>
        <w:rPr>
          <w:b/>
          <w:bCs/>
        </w:rPr>
        <w:t xml:space="preserve">Tabuľka S5</w:t>
      </w:r>
      <w:r>
        <w:br/>
      </w:r>
      <w:r>
        <w:rPr>
          <w:i/>
          <w:iCs/>
        </w:rPr>
        <w:t xml:space="preserve">Predbežná expertná kontrola východiskových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Seed</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 caregiving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pPr>
      <w:r>
        <w:rPr>
          <w:b/>
          <w:bCs/>
        </w:rPr>
        <w:t xml:space="preserve">Obrázok S4</w:t>
      </w:r>
      <w:r>
        <w:br/>
      </w:r>
      <w:r>
        <w:rPr>
          <w:i/>
          <w:iCs/>
        </w:rPr>
        <w:t xml:space="preserve">Tepelná mapa predbežnej expertnej kontroly východiskových scenárov</w:t>
      </w:r>
    </w:p>
    <w:p>
      <w:pPr>
        <w:pStyle w:val="CaptionedFigure"/>
      </w:pPr>
      <w:r>
        <w:drawing>
          <ns1:inline>
            <ns1:extent cx="5334000" cy="2631722"/>
            <ns1:effectExtent b="0" l="0" r="0" t="0"/>
            <ns1:docPr descr="Obrázok S4" title="" id="68" name="Picture"/>
            <ns2:graphic>
              <ns2:graphicData uri="http://schemas.openxmlformats.org/drawingml/2006/picture">
                <ns3:pic>
                  <ns3:nvPicPr>
                    <ns3:cNvPr descr="/Users/pavol.bielik/dev/src/github.com/pbielik/diplomovka/figures/figure_s4_expert_review_seeds_heatmap.png" id="69" name="Picture"/>
                    <ns3:cNvPicPr>
                      <ns2:picLocks noChangeArrowheads="1" noChangeAspect="1"/>
                    </ns3:cNvPicPr>
                  </ns3:nvPicPr>
                  <ns3:blipFill>
                    <ns2:blip ns4:embed="rId67"/>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p>
      <w:pPr>
        <w:pStyle w:val="ImageCaption"/>
      </w:pPr>
      <w:r>
        <w:t xml:space="preserve">Obrázok S4</w:t>
      </w:r>
    </w:p>
    <w:bookmarkEnd w:id="70"/>
    <w:bookmarkStart w:id="71" w:name="X473c2dd45a87ced06575d94cc7a6868cce14a94"/>
    <w:p>
      <w:pPr>
        <w:pStyle w:val="Heading1"/>
      </w:pPr>
      <w:r>
        <w:t xml:space="preserve">Charakteristika analyzovaného súboru hodnotení</w:t>
      </w:r>
    </w:p>
    <w:p>
      <w:pPr>
        <w:pStyle w:val="FirstParagraph"/>
      </w:pPr>
      <w:r>
        <w:t xml:space="preserve">Analyzovaný súbor obsahoval spolu 199 expertných hodnotení, ktoré sa vzťahovali na 72 prepisov rozhovorov odvodených z 12 východiskových scenárov. Do hodnotenia sa zapojilo 6 hodnotiteľov a na jeden prepis rozhovoru pripadalo v priemere 2,76 hodnotenia, pričom minimálne pokrytie bolo 2 hodnotenia a maximálne 6 hodnotení. Základnú charakteristiku datasetu sumarizuje Tabuľka 1.</w:t>
      </w:r>
    </w:p>
    <w:p>
      <w:pPr>
        <w:pStyle w:val="BodyText"/>
      </w:pPr>
      <w:r>
        <w:t xml:space="preserve">Na úrovni experimentálneho dizajnu bol zastúpený kompletný faktorový plán 2 x 3, teda všetky kombinácie prítomnosti štruktúrujúceho klinického usmernenia a štýlu odpovedania simulovaného pacienta. Pokrytie buniek však nebolo úplne vyvážené. V podmienke bez usmernenia bolo zaradených 118 hodnotení a v podmienke s usmernením 81 hodnotení. Najhustejšie zostala pokrytá bunka G0 x P1 s 46 hodnoteniami, nasledovali G0 x P2 a G0 x P3 s po 36 hodnoteniami, G1 x P1 s 32 hodnoteniami, G1 x P3 s 25 hodnoteniami a G1 x P2 s 24 hodnoteniami.</w:t>
      </w:r>
    </w:p>
    <w:p>
      <w:pPr>
        <w:pStyle w:val="BodyText"/>
      </w:pPr>
      <w:r>
        <w:t xml:space="preserve">Táto štruktúra už umožňuje inferenčné modelovanie, no pri interpretácii treba zohľadniť nerovnomerné rozloženie hodnotení medzi bunkami aj skutočnosť, že panel hodnotiteľov bol početne malý a zapájal sa nerovnomerne.</w:t>
      </w:r>
    </w:p>
    <w:p>
      <w:pPr>
        <w:pStyle w:val="BodyText"/>
      </w:pPr>
      <w:r>
        <w:rPr>
          <w:b/>
          <w:bCs/>
        </w:rPr>
        <w:t xml:space="preserve">Tabuľka 1</w:t>
      </w:r>
      <w:r>
        <w:br/>
      </w:r>
      <w:r>
        <w:rPr>
          <w:i/>
          <w:iCs/>
        </w:rPr>
        <w:t xml:space="preserve">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metric</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value</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Zdroj dát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Vyčistené dáta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seedov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2.76388888888889</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Spôsob výpočtu chyby závažnosti</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Priama absolútna chyba na škále 1-5</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v G0</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v G1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w:t>
            </w:r>
          </w:p>
        </w:tc>
      </w:tr>
    </w:tbl>
    <w:p>
      <w:pPr>
        <w:pStyle w:val="BodyText"/>
      </w:pPr>
      <w:r>
        <w:t xml:space="preserve">Poznámka. Zdrojom je autoritatívny clean run nad aktuálnym datasetom.</w:t>
      </w:r>
    </w:p>
    <w:bookmarkEnd w:id="71"/>
    <w:bookmarkStart w:id="72" w:name="deskriptívne-charakteristiky-hodnotení"/>
    <w:p>
      <w:pPr>
        <w:pStyle w:val="Heading1"/>
      </w:pPr>
      <w:r>
        <w:t xml:space="preserve">Deskriptívne charakteristiky hodnotení</w:t>
      </w:r>
    </w:p>
    <w:p>
      <w:pPr>
        <w:pStyle w:val="FirstParagraph"/>
      </w:pPr>
      <w:r>
        <w:t xml:space="preserve">Tabuľka 2 sumarizuje základné deskriptívne charakteristiky na úrovni jednotlivých hodnotení aj na úrovni prepisov rozhovorov. Na úrovni hlavných kompozitov dosiahol kompozit klinickej vierohodnosti priemernú hodnotu 4,08 (SD = 0,47, medián = 4,00, rozsah 2,33 až 5,00). Kompozit defektov dosiahol priemer 1,89 (SD = 0,45, medián = 2,00, rozsah 1,00 až 3,60). Simulované rozhovory tak boli v priemere hodnotené ako skôr klinicky vierohodné, zatiaľ čo defekty zostávali skôr v nižšom pásme.</w:t>
      </w:r>
    </w:p>
    <w:p>
      <w:pPr>
        <w:pStyle w:val="BodyText"/>
      </w:pPr>
      <w:r>
        <w:t xml:space="preserve">Podobne vyzneli aj kľúčové jednotlivé položky. Prirodzenosť jazyka a štýlu odpovedí (G2) dosiahla priemer 3,92 (SD = 0,68) a použiteľnosť rozhovoru na tréningové alebo výučbové účely (G5) priemer 3,95 (SD = 0,84). Ľudský odhad celkovej závažnosti depresívnej symptomatiky (S1) mal priemer 2,93 (SD = 0,69) a ľudský odhad funkčného dopadu na bežné fungovanie (S2) priemer 2,95 (SD = 0,65). Pri viacerých týchto premenných ostal medián aj interkvartilové rozpätie stlačené do úzkeho pásma, čo naznačuje kompresiu škály smerom k stredne vyšším hodnotám.</w:t>
      </w:r>
    </w:p>
    <w:p>
      <w:pPr>
        <w:pStyle w:val="BodyText"/>
      </w:pPr>
      <w:r>
        <w:t xml:space="preserve">Tabuľka 3 zobrazuje frekvenčné rozdelenia jednotlivých položiek. Pri globálnych položkách G1 až G5 dominovala najmä odpoveď 4, pričom napríklad pri položke klinickej vierohodnosti tvorila táto kategória 71,9 % všetkých hodnotení a pri G2 76,4 %. Pri defektových položkách R1 až R5 prevládali najmä kategórie 1 a 2. Najvýraznejšie sa tento obraz ukázal pri položke R5, kde sa 46,7 % hodnotení sústredilo na hodnotu 1 a 51,3 % na hodnotu 2. Aj pri S1 a S2 sa väčšina odpovedí sústreďovala do jednej dominantnej kategórie, konkrétne na hodnotu 3.</w:t>
      </w:r>
    </w:p>
    <w:p>
      <w:pPr>
        <w:pStyle w:val="BodyText"/>
      </w:pPr>
      <w:r>
        <w:t xml:space="preserve">Na úrovni prepisov rozhovorov dosiahla priemerná absolútna chyba v symptomatických doménach A1 až A9 voči seedu hodnotu 0,53 (SD = 0,20, medián = 0,56, rozsah 0,11 až 0,89). Pri sekundárnych transcript-level ukazovateľoch bola priemerná absolútna chyba S1 voči seedu 0,43 a absolútna chyba S2 voči seedu 0,48. Tieto ukazovatele predstavujú transcript-level vrstvu a sú preto interpretované oddelene od rating-level položiek S1 a S2.</w:t>
      </w:r>
    </w:p>
    <w:p>
      <w:pPr>
        <w:pStyle w:val="BodyText"/>
      </w:pPr>
      <w:r>
        <w:rPr>
          <w:b/>
          <w:bCs/>
        </w:rPr>
        <w:t xml:space="preserve">Tabuľka 2</w:t>
      </w:r>
      <w:r>
        <w:br/>
      </w:r>
      <w:r>
        <w:rPr>
          <w:i/>
          <w:iCs/>
        </w:rPr>
        <w:t xml:space="preserve">Deskriptívne ukazovatele položiek a kompozitov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722"/>
        <w:gridCol w:w="722"/>
        <w:gridCol w:w="722"/>
        <w:gridCol w:w="722"/>
        <w:gridCol w:w="722"/>
        <w:gridCol w:w="722"/>
        <w:gridCol w:w="722"/>
        <w:gridCol w:w="722"/>
        <w:gridCol w:w="722"/>
        <w:gridCol w:w="722"/>
        <w:gridCol w:w="723"/>
      </w:tblGrid>
      <w:tr>
        <w:trPr>
          <w:tblHeader w:val="on"/>
        </w:trPr>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variable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n_non_missing</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levels_used</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median</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mean</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analysis_unit</w:t>
            </w:r>
          </w:p>
        </w:tc>
        <w:tc>
          <w:tcPr>
            <w:tcW w:w="72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section</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4.07537688442211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0.602475309581141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3.9195979899497484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0.6842882014343089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4.201005025125628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0.5683566555019889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3.969849246231156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0.5213574719155354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3.949748743718592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0.8393645005802135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Istota odhadu pôvodu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2.5689655172413794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0.7036762853610689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1.9497487437185925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0.5481718350972323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2.0402010050251262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0.6878395101447409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1.839195979899498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0.7136981202528461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2.07035175879397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0.7142668607517089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1.557788944723618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0.5554387979435731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2.9296482412060296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0.6853999620397289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2.954773869346733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0.6536338394555594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depresívna nálada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2.3333333333333335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0.4747126632775413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strata záujmu / anhedónia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0.5035088149780135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poruchy spánku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2.7222222222222223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0.6102925233085031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zmeny apetítu / hmotnosti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1.1527777777777777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0.8163767809738968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psychomotorické spomalenie alebo nepokoj</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1.5972222222222223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0.49389861028929444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únava / nízka energia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2.9027777777777777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0.2983391690356929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pocity viny / bezcennosti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1.7777777777777777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0.5867605558673425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zhoršená koncentrácia / rozhodovanie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1.9305555555555556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0.45428752106973747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PHQ-9 symptomatické metadata: pasívne myšlienky na smrť</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0.41666666666666663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0.4964663868173118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0.6000000000000001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1.8914572864321608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0.45424750399260166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0.33333333333333304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4.082077051926298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0.4683798959364242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2.3333333333333335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0.33333333333333326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0.4756944444444445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0.301092656751907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0.33333333333333337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0.33333333333333326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0.431712962962963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0.2918179985973075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r>
      <w:tr>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0.5555555555555556</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0.3333333333333333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0.5308641975308642</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0.19755259835220937</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0.1111111111111111</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0.8888888888888888</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Kompozity</w:t>
            </w:r>
          </w:p>
        </w:tc>
      </w:tr>
    </w:tbl>
    <w:p>
      <w:pPr>
        <w:pStyle w:val="BodyText"/>
      </w:pPr>
      <w:r>
        <w:rPr>
          <w:b/>
          <w:bCs/>
        </w:rPr>
        <w:t xml:space="preserve">Tabuľka 3</w:t>
      </w:r>
      <w:r>
        <w:br/>
      </w:r>
      <w:r>
        <w:rPr>
          <w:i/>
          <w:iCs/>
        </w:rPr>
        <w:t xml:space="preserve">Frekvenčné rozdelenie kľúčových položiek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variable</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response</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prop</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0.01507537688442211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0.07035175879396985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0.7185929648241206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0.19095477386934673</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0.06532663316582915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0.7638190954773869</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0.11557788944723618</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0.010050251256281407</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0.6683417085427136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0.271356783919598</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0.020100502512562814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0.09045226130653267</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0.7889447236180904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0.10050251256281408</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0.09045226130653267</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0.07537688442211055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0.6080402010050251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0.22110552763819097</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0.15577889447236182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0.7587939698492462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0.06532663316582915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0.020100502512562814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0.15577889447236182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0.7035175879396985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0.09045226130653267</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0.04522613065326633</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0.3015075376884422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0.6030150753768844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0.04522613065326633</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0.15577889447236182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0.678391959798995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0.11055276381909548</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0.46733668341708545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0.5125628140703518</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0.01507537688442211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0.005025125628140704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0.24120603015075376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0.5879396984924623</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0.1507537688442211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0.01507537688442211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0.21608040201005024</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0.6331658291457286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0.1306532663316583</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0.020100502512562814</w:t>
            </w:r>
          </w:p>
        </w:tc>
      </w:tr>
    </w:tbl>
    <w:p>
      <w:pPr>
        <w:pStyle w:val="BodyText"/>
      </w:pPr>
      <w:r>
        <w:t xml:space="preserve">Poznámka. Tabuľka sumarizuje rozdelenia pre G1-G5, S1, S2 a R1-R5.</w:t>
      </w:r>
    </w:p>
    <w:bookmarkEnd w:id="72"/>
    <w:bookmarkStart w:id="73" w:name="kvalita-merania-a-zhoda-hodnotiteľov"/>
    <w:p>
      <w:pPr>
        <w:pStyle w:val="Heading1"/>
      </w:pPr>
      <w:r>
        <w:t xml:space="preserve">Kvalita merania a zhoda hodnotiteľov</w:t>
      </w:r>
    </w:p>
    <w:p>
      <w:pPr>
        <w:pStyle w:val="FirstParagraph"/>
      </w:pPr>
      <w:r>
        <w:t xml:space="preserve">Tabuľka 4 sumarizuje vnútornú konzistenciu hlavných blokov položiek. Pre blok G1 až G5 dosiahlo Cronbachovo alpha hodnotu 0,84 a McDonaldovo omega total (1f) hodnotu 0,85. Pri jadre kompozitu klinickej vierohodnosti tvoreného položkami G1, G3 a G4 boli odhady 0,77 a 0,78 a pri defektovom bloku R1 až R5 približne 0,74 a 0,76. Na úrovni vnútornej konzistencie teda nástroj na tomto datasete pôsobí prijateľne až dobre.</w:t>
      </w:r>
    </w:p>
    <w:p>
      <w:pPr>
        <w:pStyle w:val="BodyText"/>
      </w:pPr>
      <w:r>
        <w:t xml:space="preserve">Výrazne opatrnejší obraz však prináša interrater vrstva. Tabuľka 5 ukazuje, že odhady ICC2k pre kompozit klinickej vierohodnosti, kompozit defektov aj pre ľudské odhady závažnosti a funkčného dopadu zostali v aktuálnom spracovaní numericky nevyplnené. Aj keď sa na zbere podieľalo viac než jeden hodnotiteľ, panel bol početne malý a pokrytie medzi hodnotiteľmi nebolo dostatočne rovnomerné na stabilný report interrater zhody. Tento blok preto funguje skôr ako transparentné priznanie meracieho limitu než ako samostatný nosný argument kvality merania.</w:t>
      </w:r>
    </w:p>
    <w:p>
      <w:pPr>
        <w:pStyle w:val="BodyText"/>
      </w:pPr>
      <w:r>
        <w:rPr>
          <w:b/>
          <w:bCs/>
        </w:rPr>
        <w:t xml:space="preserve">Tabuľka 4</w:t>
      </w:r>
      <w:r>
        <w:br/>
      </w:r>
      <w:r>
        <w:rPr>
          <w:i/>
          <w:iCs/>
        </w:rPr>
        <w:t xml:space="preserve">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135"/>
        <w:gridCol w:w="1135"/>
        <w:gridCol w:w="1135"/>
        <w:gridCol w:w="1135"/>
        <w:gridCol w:w="1135"/>
        <w:gridCol w:w="1135"/>
        <w:gridCol w:w="1133"/>
      </w:tblGrid>
      <w:tr>
        <w:trPr>
          <w:tblHeader w:val="on"/>
        </w:trPr>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block</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n_items</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n_rows</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alpha</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omega</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status</w:t>
            </w:r>
          </w:p>
        </w:tc>
        <w:tc>
          <w:tcPr>
            <w:tcW w:w="113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detail</w:t>
            </w:r>
          </w:p>
        </w:tc>
      </w:tr>
      <w:tr>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Blok G1-G5</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0.8432213573566126</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0.8535582875495835</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indexu klinickej vierohodnosti</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0.7723276260990264</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0.7791391876290569</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Blok R1-R5</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199</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0.7407284409808323</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0.7596699047796395</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r>
    </w:tbl>
    <w:p>
      <w:pPr>
        <w:pStyle w:val="BodyText"/>
      </w:pPr>
      <w:r>
        <w:rPr>
          <w:b/>
          <w:bCs/>
        </w:rPr>
        <w:t xml:space="preserve">Tabuľka 5</w:t>
      </w:r>
      <w:r>
        <w:br/>
      </w:r>
      <w:r>
        <w:rPr>
          <w:i/>
          <w:iCs/>
        </w:rPr>
        <w:t xml:space="preserve">Zhoda medzi hodnotiteľmi pri hlavných výstupných ukazovateľoch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135"/>
        <w:gridCol w:w="1135"/>
        <w:gridCol w:w="1135"/>
        <w:gridCol w:w="1135"/>
        <w:gridCol w:w="1135"/>
        <w:gridCol w:w="1135"/>
        <w:gridCol w:w="1133"/>
      </w:tblGrid>
      <w:tr>
        <w:trPr>
          <w:tblHeader w:val="on"/>
        </w:trPr>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icc_type</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estimate</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conf_low</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conf_high</w:t>
            </w:r>
          </w:p>
        </w:tc>
        <w:tc>
          <w:tcPr>
            <w:tcW w:w="113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status</w:t>
            </w:r>
          </w:p>
        </w:tc>
        <w:tc>
          <w:tcPr>
            <w:tcW w:w="113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detail</w:t>
            </w:r>
          </w:p>
        </w:tc>
      </w:tr>
      <w:tr>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ICC2k</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c>
          <w:tcPr>
            <w:tcW w:w="113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ok</w:t>
            </w:r>
          </w:p>
        </w:tc>
        <w:tc>
          <w:tcPr>
            <w:tcW w:w="113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r>
    </w:tbl>
    <w:bookmarkEnd w:id="73"/>
    <w:bookmarkStart w:id="84" w:name="Xa49e5c0fd815f8f1ed176d62dcf2d7116bb511a"/>
    <w:p>
      <w:pPr>
        <w:pStyle w:val="Heading1"/>
      </w:pPr>
      <w:r>
        <w:t xml:space="preserve">Hlavné inferenčné bloky podľa výskumných otázok a hypotéz</w:t>
      </w:r>
    </w:p>
    <w:bookmarkStart w:id="74" w:name="X694de517ca269c19ad8a8d28ec3c2de05f68dd6"/>
    <w:p>
      <w:pPr>
        <w:pStyle w:val="Heading2"/>
      </w:pPr>
      <w:r>
        <w:t xml:space="preserve">Globálna kvalita rozhovoru a efekt štruktúrujúceho klinického usmernenia</w:t>
      </w:r>
    </w:p>
    <w:p>
      <w:pPr>
        <w:pStyle w:val="FirstParagraph"/>
      </w:pPr>
      <w:r>
        <w:t xml:space="preserve">Tabuľka 6 zhŕňa hlavné modelové odhady pre rating-level aj transcript-level outcome-y. Pri kompozite klinickej vierohodnosti sa v lineárnom zmiešanom modeli neobjavil výrazný hlavný efekt štruktúrujúceho klinického usmernenia (b = 0,03, SE = 0,09, 95 % CI -0,15 až 0,21). Rovnakým smerom vyznel aj deskriptívny obraz v Obrázku 1 a estimated marginal means v Obrázku 2, kde sa intervaly spoľahlivosti medzi podmienkami výrazne prekrývali.</w:t>
      </w:r>
    </w:p>
    <w:p>
      <w:pPr>
        <w:pStyle w:val="BodyText"/>
      </w:pPr>
      <w:r>
        <w:t xml:space="preserve">Ani pri ďalších globálnych ukazovateľoch sa neobjavil presvedčivý efekt podporujúci H1, H2, H3 alebo H5. Pri položke prirodzenosti jazyka (G2) bol koeficient usmernenia v ordinálnom zmiešanom modeli malý a prakticky nulový (b = -0,06, p = 0,927). Pri položke použiteľnosti na tréningové alebo výučbové účely (G5) bol smer odhadu síce pozitívny (b = 0,31), ale bez presvedčivého signálu (p = 0,581). Pri kompozite defektov bol efekt usmernenia smerovo priaznivý, teda v smere nižšej chybovosti pri zapnutom usmernení (b = -0,13, SE = 0,09), no jeho veľkosť ostala malá a interval spoľahlivosti zahrnul nulu.</w:t>
      </w:r>
    </w:p>
    <w:p>
      <w:pPr>
        <w:pStyle w:val="BodyText"/>
      </w:pPr>
      <w:r>
        <w:t xml:space="preserve">V jadre rating-level outcome-ov tak výsledky neukázali systematický dôkaz, že by prítomnosť štruktúrujúceho klinického usmernenia sama osebe zvyšovala globálnu kvalitu rozhovoru alebo znižovala výskyt defektov.</w:t>
      </w:r>
    </w:p>
    <w:bookmarkEnd w:id="74"/>
    <w:bookmarkStart w:id="75" w:name="X69b5eae4b9d48fd7fd1077e5db3ba8c571bf9ec"/>
    <w:p>
      <w:pPr>
        <w:pStyle w:val="Heading2"/>
      </w:pPr>
      <w:r>
        <w:t xml:space="preserve">Symptómová zhoda so seedmi a transcript-level ukazovatele odchýlky</w:t>
      </w:r>
    </w:p>
    <w:p>
      <w:pPr>
        <w:pStyle w:val="FirstParagraph"/>
      </w:pPr>
      <w:r>
        <w:t xml:space="preserve">Transcript-level vetva odpovedá na otázku, nakoľko sa výsledné prepisy rozhovorov približovali referenčným hodnotám východiskových scenárov. Tabuľka 2 ukazuje, že priemerná absolútna chyba v symptomatických doménach A1 až A9 voči seedu dosiahla 0,53, priemerná absolútna chyba S1 voči seedu 0,43 a priemerná absolútna chyba S2 voči seedu 0,48.</w:t>
      </w:r>
    </w:p>
    <w:p>
      <w:pPr>
        <w:pStyle w:val="BodyText"/>
      </w:pPr>
      <w:r>
        <w:t xml:space="preserve">Aj v tejto vrstve ostali rozdiely medzi podmienkami malé. V lineárnom zmiešanom modeli pre priemernú absolútnu chybu v symptomatických doménach bol efekt usmernenia b = -0,02 (SE = 0,04, 95 % CI -0,11 až 0,07). Podobne malý smer sa ukázal aj pri sekundárnych ukazovateľoch, kde bol efekt usmernenia pre absolútnu chybu S1 b = -0,13 (SE = 0,11) a pre absolútnu chybu S2 b = -0,06 (SE = 0,10). Na úrovni transcript-level error vetvy sa teda H4 jednoznačne nepotvrdila.</w:t>
      </w:r>
    </w:p>
    <w:p>
      <w:pPr>
        <w:pStyle w:val="BodyText"/>
      </w:pPr>
      <w:r>
        <w:t xml:space="preserve">Z estimated marginal means zároveň vyplýva, že najnižšia priemerná symptomatická odchýlka sa objavila v bunke G1 x P3 a najvyššia v bunke G0 x P3, ale rozdiel medzi týmito bunkami ostal relatívne malý. Obrázok 2 preto skôr ukazuje prekryv než ostro oddelené profily podmienok.</w:t>
      </w:r>
    </w:p>
    <w:bookmarkEnd w:id="75"/>
    <w:bookmarkStart w:id="76" w:name="Xb3d0afddbc8d0d8ef075ce4d7e23b294b9ac655"/>
    <w:p>
      <w:pPr>
        <w:pStyle w:val="Heading2"/>
      </w:pPr>
      <w:r>
        <w:t xml:space="preserve">Efekt štýlu odpovedania simulovaného pacienta</w:t>
      </w:r>
    </w:p>
    <w:p>
      <w:pPr>
        <w:pStyle w:val="FirstParagraph"/>
      </w:pPr>
      <w:r>
        <w:t xml:space="preserve">Ani pri profile odpovedania sa neobjavil silný a konzistentný rozdiel podporujúci H6, H7 alebo H8. Pri kompozite klinickej vierohodnosti ostali koeficienty pre P2 aj P3 prakticky nulové (P2: b = -0,02; P3: b = -0,01). Podobne vyzneli aj odhady pri kompozite defektov (P2: b = -0,05; P3: b = -0,01) a pri transcript-level symptómovej chybe, kde P2 smerovalo mierne nižšie a P3 mierne vyššie než P1, no bez presvedčivého efektu.</w:t>
      </w:r>
    </w:p>
    <w:p>
      <w:pPr>
        <w:pStyle w:val="BodyText"/>
      </w:pPr>
      <w:r>
        <w:t xml:space="preserve">Pri položkách G2 a G5 sa síce objavili drobné rozdiely v smeroch koeficientov, no bez konzistentného modelového obrazu. Pri G2 smerovalo P2 mierne vyššie než P1 (b = 0,47, p = 0,434), zatiaľ čo P3 sa od P1 prakticky nelíšilo. Pri G5 bol efekt P2 smerovo negatívny (b = -0,47, p = 0,389) a efekt P3 opäť zanedbateľný.</w:t>
      </w:r>
    </w:p>
    <w:p>
      <w:pPr>
        <w:pStyle w:val="BodyText"/>
      </w:pPr>
      <w:r>
        <w:t xml:space="preserve">Sekundárne ordinálne modely pre ľudské odhady S1 a S2 ukázali niekoľko doplnkových signálov, ktoré však nepredstavujú jadro testovaných hypotéz. Pri S2 sa objavili nižšie odhadované kategórie funkčného dopadu pri P2 a P3 oproti P1 (P2: p = 0,050; P3: p = 0,042), no tento obraz sa nepreklopil do transcript-level error vetvy. Výsledky preto nepodporujú záver, že by rozvinutejší profil odpovedania systematicky zlepšoval globálnu kvalitu rozhovoru alebo jeho zhodu so seed profilom.</w:t>
      </w:r>
    </w:p>
    <w:bookmarkEnd w:id="76"/>
    <w:bookmarkStart w:id="83" w:name="interakcia-medzi-usmernením-a-profilom"/>
    <w:p>
      <w:pPr>
        <w:pStyle w:val="Heading2"/>
      </w:pPr>
      <w:r>
        <w:t xml:space="preserve">Interakcia medzi usmernením a profilom</w:t>
      </w:r>
    </w:p>
    <w:p>
      <w:pPr>
        <w:pStyle w:val="FirstParagraph"/>
      </w:pPr>
      <w:r>
        <w:t xml:space="preserve">Na úrovni jadrových outcome-ov sa neobjavil silný interakčný efekt podporujúci H9. Interakčné členy pre kompozit klinickej vierohodnosti aj kompozit defektov ostali malé a ich intervaly spoľahlivosti široko prekryli nulu. Rovnaký obraz sa ukázal aj pri transcript-level symptómovej chybe, kde síce interakčné koeficienty pre G1 x P2 a G1 x P3 smerovali opačne, no ostali nesignifikantné (v oboch prípadoch p = 0,111).</w:t>
      </w:r>
    </w:p>
    <w:p>
      <w:pPr>
        <w:pStyle w:val="BodyText"/>
      </w:pPr>
      <w:r>
        <w:t xml:space="preserve">Najvýraznejší interakčný náznak sa objavil v sekundárnych ordinálnych modeloch pre ľudské odhady S1 a S2. Pri S1 vyšiel člen G1 x P3 pozitívne a štatisticky významne (p = 0,024) a pri S2 sa podobný signál objavil tiež pri G1 x P3 (p = 0,034). Keďže ide o sekundárne rating-level outcome-y a nie o jadro transcript-level fidelity vetvy, tieto výsledky interpretujem opatrne ako doplnkový signál, nie ako nosný dôkaz interakcie medzi oboma experimentálnymi faktormi.</w:t>
      </w:r>
    </w:p>
    <w:p>
      <w:pPr>
        <w:pStyle w:val="BodyText"/>
      </w:pPr>
      <w:r>
        <w:t xml:space="preserve">Ako robustness check bol pre rating-level kompozity odhadnutý aj sensitivity model s random interceptom pre konkrétny prepis rozhovoru. Tabuľka S6 ukazuje, že pri kompozite klinickej vierohodnosti aj kompozite defektov zostal smer hlavných aj interakčných efektov prakticky nezmenený. Táto vetva však mala singularitu, a preto slúži len ako doplnková kontrola stability hlavného modelového obrazu.</w:t>
      </w:r>
    </w:p>
    <w:p>
      <w:pPr>
        <w:pStyle w:val="BodyText"/>
      </w:pPr>
      <w:r>
        <w:rPr>
          <w:b/>
          <w:bCs/>
        </w:rPr>
        <w:t xml:space="preserve">Tabuľka 6</w:t>
      </w:r>
      <w:r>
        <w:br/>
      </w:r>
      <w:r>
        <w:rPr>
          <w:i/>
          <w:iCs/>
        </w:rPr>
        <w:t xml:space="preserve">Súhrn jadrových zmiešaných modelov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662"/>
        <w:gridCol w:w="662"/>
        <w:gridCol w:w="662"/>
        <w:gridCol w:w="662"/>
        <w:gridCol w:w="662"/>
        <w:gridCol w:w="662"/>
        <w:gridCol w:w="662"/>
        <w:gridCol w:w="662"/>
        <w:gridCol w:w="662"/>
        <w:gridCol w:w="662"/>
        <w:gridCol w:w="662"/>
        <w:gridCol w:w="661"/>
      </w:tblGrid>
      <w:tr>
        <w:trPr>
          <w:tblHeader w:val="on"/>
        </w:trPr>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model_type</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term</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estimate</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std_error</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statistic</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p_value</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conf_low</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conf_high</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status</w:t>
            </w:r>
          </w:p>
        </w:tc>
        <w:tc>
          <w:tcPr>
            <w:tcW w:w="66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detail</w:t>
            </w:r>
          </w:p>
        </w:tc>
        <w:tc>
          <w:tcPr>
            <w:tcW w:w="66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model_family</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3.802837995219153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0.20628999265496006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18.434427895781482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3.063498610470944e-5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3.3985170392443993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4.207158951193907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0.028288677546887363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0.09309047119332292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0.30388370779797297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0.7615593224271892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-0.1541652932958889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0.2107426483896636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-0.016186798487857864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0.09002306674305975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-0.17980723245140692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0.8575016807641138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-0.19262876708210042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0.16025517010638468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-0.006927539228599067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0.09002306674305974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-0.07695293527792575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0.9387445609540503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-0.1833695078228416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0.16951442936564345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0.024282392784291052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0.13847616196030996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0.17535431687694286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0.8609968125970117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-0.2471258973752518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0.29569068294383394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0.01947299077168348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0.13732044697465268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0.14180692825211896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0.8873898835958901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-0.24967013963957788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0.28861612118294483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2.1553714933983112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0.18527587954858069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11.63330865652783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2.275683450349955e-4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1.792237442279112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2.5185055445175104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-0.13089403014416537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0.08874221164844943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-1.4749917509685193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0.14191593666478594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-0.30482556888355705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0.043037508595226315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-0.05273984074967279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0.0858198452935325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-0.6145413169795977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0.5396142267286606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-0.22094364668379568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0.11546396518445011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-0.013850951860784113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0.08581984529353248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-0.16139567501443564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0.8719582391139515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-0.18205475779490699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0.15435285407333876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0.11179154382933155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0.13206374459877046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0.8464968502064749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0.3983886744785511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-0.14704863924775458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0.37063172690641766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0.023571938386722946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0.1309616699301564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0.17999112564229042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0.8573600283068845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-0.2331082180316057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0.2802520948050516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0.5370370370370414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0.05527621828663396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9.715516974266299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2.1138843989325403e-9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0.42869763999366456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0.6453764340804182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-0.01851851851851973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0.044491573065404993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-0.41622530386364437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0.6787302760899052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-0.10572039934224581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0.06868336230520636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-0.04629629629629701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0.044491573065404966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-1.0405632596590595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0.30225327188987666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-0.13349817712002304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0.04090558452742902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0.055555555555554366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0.044491573065404966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1.2486759115908255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0.21663385451102682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-0.03164632526817166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0.1427574363792804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0.10185185185185257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0.06292058604040923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1.618736541748684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0.11074920710657749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-0.021470230673503177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0.2251739343772083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 A1-A9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-0.10185185185185049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0.06292058604040923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-1.618736541748651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0.11074920710637026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-0.22517393437720623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0.02147023067350526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0.5763888888888885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0.07859725235557774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7.333448328209713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2.671423239146313e-10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0.42234110498815025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0.7304366727896268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-0.1319444444444441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0.11115330024651868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-1.1870492747567034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0.2391099575498485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-0.34980090969038774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0.08591202080149957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-0.1319444444444441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0.11115330024651873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-1.1870492747567027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0.23910995754984873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-0.34980090969038785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0.08591202080149968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-0.18749999999999967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0.11115330024651868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-1.6868594957068959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0.09595882727290911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-0.4053564652459433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0.030356465245943987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-0.06250000000000035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0.15719450471115543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-0.39759659610775816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0.6921039085417995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-0.37059556780147673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0.24559556780147607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S1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0.22916666666666635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0.1571945047111554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1.4578541857284366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0.14922895969864755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-0.07892890113480999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0.5372622344681427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0.576388888888888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0.08234284719149501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6.999865908795314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3.7412147863621624e-9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0.4149998740090727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0.7377779037687032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-0.062499999999999126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0.10100526711620317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-0.6187796120383997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0.5384038131336419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-0.2604666857966051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0.13546668579660687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-0.10416666666666571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0.10100526711620315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-1.031299353397338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0.3065397683516056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-0.30213335246327166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0.09380001912994024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-0.048611111111110224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0.10100526711620317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-0.48127303158541995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0.6320730497082567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-0.2465777969077162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0.14935557468549576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-0.11805555555555655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0.1428430186268517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-0.8264706017166485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0.4118117686705811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-0.3980227275071698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0.16191161639605675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S2 voči seedu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0.006944444444443462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0.1428430186268517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0.04861591774803086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0.9613868550140361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-0.2730227275071698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0.2869116163960568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p_value from lmerTest Satterthwaite approximation.</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-0.056259060235404786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0.6109712040599661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-0.09208136138259476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0.9266333969920869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-1.2537626201929382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1.1412444997221287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0.47041786178948497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0.6011078981828994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0.7825847293165172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0.433871011792282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-0.7077536186489979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1.6485893422279678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-0.035037645431479046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0.5958752095508963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-0.05880030729569448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0.9531111636993217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-1.202953056151236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1.1328777652882778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-0.9421039925858236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0.9135322308759125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-1.031276139740046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0.30241134414958754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-2.732627165102612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0.8484191799309649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0.40373146792487086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0.930336100980218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0.4339630242226358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0.6643152920160933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-1.4197272899963564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2.227190225846098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0.3143454179435373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0.5699994436418846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0.5514837276596223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0.5813021185052896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-0.8028534915945565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1.4315443274816313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-0.46811156356147765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0.5438321965277971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-0.8607647111558075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0.3893676444297554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-1.53402266875596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0.5977995416330046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-0.027304166634314335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0.558776307746743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-0.048864216781878196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0.9610275056508238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-1.1225057298179306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1.067897396549302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0.16176548170946045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0.8131615893425286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0.1989339927384591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0.8423143785468384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-1.4320312334018954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1.7555621968208164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0.3437114356467402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0.8288766866064184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0.41467137536943083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0.6783824898128545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-1.28088687010184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1.9683097413953203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-0.1699731425271205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0.573106723550518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-0.2965820074036137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0.7667856491467352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-1.2932623206861356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0.9533160356318946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-0.38460967948809716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0.5570111069094011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-0.6904883488268657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0.48988713443443305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-1.4763514490305234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0.7071320900543292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-0.3518853258446274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0.5566828887472962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-0.6321109072284854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0.527314408456631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-1.442983787789328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0.7392131361000732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1.1780349849159464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0.835038039563623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1.410756072300093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0.1583165511186378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-0.45863957262875465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2.8147095424606476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celkovej závažnosti depresívnej symptomatiky</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1.8708776892235666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0.8313729258822069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2.250347143838362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0.02442691746520324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0.24138675449444102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3.500368623952692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5.</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-0.3366074447232052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0.6150864174103259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-0.5472522806476694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0.5842054229216935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-1.542176822847444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0.8689619334010334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4.</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-1.2574141806632424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0.6413578730377236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-1.960550004177283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0.04993153941037836</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-2.514475611817181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-3.5274950930408444e-4</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4.</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-1.2981298479329288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0.6380913700070577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-2.0343949298649355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0.04191179265495862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-2.5487889331467617</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-0.04747076271909578</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4.</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0.6030343920993019</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0.9579548696200465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0.6295018807498555</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0.5290205378262043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-1.2745571523559893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2.480625936554593</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Response levels used: 4.</w:t>
            </w:r>
          </w:p>
        </w:tc>
        <w:tc>
          <w:tcPr>
            <w:tcW w:w="66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r>
      <w:tr>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Ľudský odhad funkčného dopadu na bežné fungovanie</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CLMM</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1.9696506365509432</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0.9309584750075263</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2.1157234070349054</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0.03436833860843734</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0.1449720255361917</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3.7943292475656945</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ok</w:t>
            </w:r>
          </w:p>
        </w:tc>
        <w:tc>
          <w:tcPr>
            <w:tcW w:w="66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Response levels used: 4.</w:t>
            </w:r>
          </w:p>
        </w:tc>
        <w:tc>
          <w:tcPr>
            <w:tcW w:w="66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CLMM</w:t>
            </w:r>
          </w:p>
        </w:tc>
      </w:tr>
    </w:tbl>
    <w:p>
      <w:pPr>
        <w:pStyle w:val="BodyText"/>
      </w:pPr>
      <w:r>
        <w:t xml:space="preserve">Poznámka. V kompaktnej podobe spája rating-level LMM, transcript-level LMM a kľúčové CLMM výstupy.</w:t>
      </w:r>
    </w:p>
    <w:p>
      <w:pPr>
        <w:pStyle w:val="BodyText"/>
      </w:pPr>
      <w:r>
        <w:rPr>
          <w:b/>
          <w:bCs/>
        </w:rPr>
        <w:t xml:space="preserve">Obrázok 1</w:t>
      </w:r>
      <w:r>
        <w:br/>
      </w:r>
      <w:r>
        <w:rPr>
          <w:i/>
          <w:iCs/>
        </w:rPr>
        <w:t xml:space="preserve">Primárne výstupné ukazovatele podľa experimentálnych podmienok</w:t>
      </w:r>
    </w:p>
    <w:p>
      <w:pPr>
        <w:pStyle w:val="CaptionedFigure"/>
      </w:pPr>
      <w:r>
        <w:drawing>
          <ns1:inline>
            <ns1:extent cx="5334000" cy="3200400"/>
            <ns1:effectExtent b="0" l="0" r="0" t="0"/>
            <ns1:docPr descr="Obrázok 1" title="" id="78" name="Picture"/>
            <ns2:graphic>
              <ns2:graphicData uri="http://schemas.openxmlformats.org/drawingml/2006/picture">
                <ns3:pic>
                  <ns3:nvPicPr>
                    <ns3:cNvPr descr="/Users/pavol.bielik/dev/src/github.com/pbielik/diplomovka/figures/figure_1_primary_outcomes_by_condition.png" id="79" name="Picture"/>
                    <ns3:cNvPicPr>
                      <ns2:picLocks noChangeArrowheads="1" noChangeAspect="1"/>
                    </ns3:cNvPicPr>
                  </ns3:nvPicPr>
                  <ns3:blipFill>
                    <ns2:blip ns4:embed="rId77"/>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ImageCaption"/>
      </w:pPr>
      <w:r>
        <w:t xml:space="preserve">Obrázok 1</w:t>
      </w:r>
    </w:p>
    <w:p>
      <w:pPr>
        <w:pStyle w:val="BodyText"/>
      </w:pPr>
      <w:r>
        <w:rPr>
          <w:b/>
          <w:bCs/>
        </w:rPr>
        <w:t xml:space="preserve">Obrázok 2</w:t>
      </w:r>
      <w:r>
        <w:br/>
      </w:r>
      <w:r>
        <w:rPr>
          <w:i/>
          <w:iCs/>
        </w:rPr>
        <w:t xml:space="preserve">Odhadované marginálne priemery jadrových modelov</w:t>
      </w:r>
    </w:p>
    <w:p>
      <w:pPr>
        <w:pStyle w:val="CaptionedFigure"/>
      </w:pPr>
      <w:r>
        <w:drawing>
          <ns1:inline>
            <ns1:extent cx="5334000" cy="3200400"/>
            <ns1:effectExtent b="0" l="0" r="0" t="0"/>
            <ns1:docPr descr="Obrázok 2" title="" id="81" name="Picture"/>
            <ns2:graphic>
              <ns2:graphicData uri="http://schemas.openxmlformats.org/drawingml/2006/picture">
                <ns3:pic>
                  <ns3:nvPicPr>
                    <ns3:cNvPr descr="/Users/pavol.bielik/dev/src/github.com/pbielik/diplomovka/figures/figure_2_emmeans_core_models.png" id="82" name="Picture"/>
                    <ns3:cNvPicPr>
                      <ns2:picLocks noChangeArrowheads="1" noChangeAspect="1"/>
                    </ns3:cNvPicPr>
                  </ns3:nvPicPr>
                  <ns3:blipFill>
                    <ns2:blip ns4:embed="rId80"/>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ImageCaption"/>
      </w:pPr>
      <w:r>
        <w:t xml:space="preserve">Obrázok 2</w:t>
      </w:r>
    </w:p>
    <w:p>
      <w:pPr>
        <w:pStyle w:val="BodyText"/>
      </w:pPr>
      <w:r>
        <w:rPr>
          <w:b/>
          <w:bCs/>
        </w:rPr>
        <w:t xml:space="preserve">Tabuľka S6</w:t>
      </w:r>
      <w:r>
        <w:br/>
      </w:r>
      <w:r>
        <w:rPr>
          <w:i/>
          <w:iCs/>
        </w:rPr>
        <w:t xml:space="preserve">Sensitivity lineárne mixed modely s random interceptom pre prepis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722"/>
        <w:gridCol w:w="722"/>
        <w:gridCol w:w="722"/>
        <w:gridCol w:w="722"/>
        <w:gridCol w:w="722"/>
        <w:gridCol w:w="722"/>
        <w:gridCol w:w="722"/>
        <w:gridCol w:w="722"/>
        <w:gridCol w:w="722"/>
        <w:gridCol w:w="722"/>
        <w:gridCol w:w="723"/>
      </w:tblGrid>
      <w:tr>
        <w:trPr>
          <w:tblHeader w:val="on"/>
        </w:trPr>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model_type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term</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estimate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std_error</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statistic</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p_value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conf_low</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conf_high</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status</w:t>
            </w:r>
          </w:p>
        </w:tc>
        <w:tc>
          <w:tcPr>
            <w:tcW w:w="72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detail</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3.8028358679451335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0.20629214488010664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18.434225259305315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3.0640116922416544e-5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3.398510693686606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4.207161042203661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0.028288290811733282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0.09309044431436925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0.30387964113913635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0.7615624157410585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-0.1541656273492618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0.21074220897272838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-0.01618719439574364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0.09002304088965057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-0.17981168194024635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0.8574981925247607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-0.19262911231823535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0.16025472352674805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-0.006927935136484038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0.09002304088965057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-0.07695735522838246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0.9387410495852595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-0.18336985305897574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0.16951398278600766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0.024282839554444276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0.1384761121570797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0.1753576062772412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0.8609942317716672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-0.247125352992561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0.29569103210144954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0.01947340843557785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0.13732039729517564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0.1418100210831679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0.887387443994395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-0.24966962460569778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0.2886164414768535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(referenčná kombinácia G0 × P1)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2.1553707416325825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0.18527514494595748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11.633350724196049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2.2755579794133022e-4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1.7922381303080677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2.5185033529570973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klinického usmernenia G1 (vs. G0)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-0.130894160513541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0.08874221601805041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-1.474993147420578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0.14191556148239506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-0.3048257078171932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0.04303738679011124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P2 (vs. P1)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-0.052739975668120595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0.08581984938182553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-0.6145428598164097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0.5396132097359809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-0.2209437896151506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0.11546383827890942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Hlavný efekt P3 (vs. P1)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-0.013851086779232349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0.08581984938182553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-0.16139723943824186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0.8719570087814774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-0.18205490072626238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0.15435272716779766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klinického usmernenia G1 × P2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0.1117917036495506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0.13206375497225592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0.8464979938896626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0.3983880384626104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-0.14704849975919337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0.3706319070582946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r>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Kompozit defektov</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LMM sensitivity s random interceptom pre prepis rozhovoru</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klinického usmernenia G1 × P3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0.023572088739321814</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0.1309616803650619</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0.17999225936635432</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0.857359139570953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-0.23310808813104578</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0.2802522656096894</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ok</w:t>
            </w:r>
          </w:p>
        </w:tc>
        <w:tc>
          <w:tcPr>
            <w:tcW w:w="72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Sensitivity model s random interceptom pre</w:t>
            </w:r>
            <w:r>
              <w:rPr>
                <w:rFonts w:ascii="Times New Roman" w:hAnsi="Times New Roman" w:cs="Times New Roman"/>
                <w:sz w:val="20"/>
                <w:szCs w:val="20"/>
              </w:rPr>
              <w:t xml:space="preserve"> </w:t>
            </w:r>
            <w:r>
              <w:rPr>
                <w:rStyle w:val="VerbatimChar"/>
                <w:rFonts w:ascii="Times New Roman" w:hAnsi="Times New Roman" w:cs="Times New Roman"/>
                <w:sz w:val="20"/>
                <w:szCs w:val="20"/>
              </w:rPr>
              <w:t xml:space="preserve">transcript_id</w:t>
            </w:r>
            <w:r>
              <w:rPr>
                <w:rFonts w:ascii="Times New Roman" w:hAnsi="Times New Roman" w:cs="Times New Roman"/>
                <w:sz w:val="20"/>
                <w:szCs w:val="20"/>
              </w:rPr>
              <w:t xml:space="preserve">. p_value from lmerTest Satterthwaite approximation. Singular fit detected (tol = 1e-4). Convergence note: boundary (singular) fit: see help(</w:t>
            </w:r>
            <w:r>
              <w:rPr>
                <w:rFonts w:ascii="Times New Roman" w:hAnsi="Times New Roman" w:cs="Times New Roman"/>
                <w:sz w:val="20"/>
                <w:szCs w:val="20"/>
              </w:rPr>
              <w:t xml:space="preserve">‘isSingular’</w:t>
            </w:r>
            <w:r>
              <w:rPr>
                <w:rFonts w:ascii="Times New Roman" w:hAnsi="Times New Roman" w:cs="Times New Roman"/>
                <w:sz w:val="20"/>
                <w:szCs w:val="20"/>
              </w:rPr>
              <w:t xml:space="preserve">)</w:t>
            </w:r>
          </w:p>
        </w:tc>
      </w:tr>
    </w:tbl>
    <w:bookmarkEnd w:id="83"/>
    <w:bookmarkEnd w:id="84"/>
    <w:bookmarkStart w:id="87" w:name="exploratorné-výstupy"/>
    <w:p>
      <w:pPr>
        <w:pStyle w:val="Heading1"/>
      </w:pPr>
      <w:r>
        <w:t xml:space="preserve">Exploratorné výstupy</w:t>
      </w:r>
    </w:p>
    <w:bookmarkStart w:id="85" w:name="vnímaný-pôvod-rozhovoru"/>
    <w:p>
      <w:pPr>
        <w:pStyle w:val="Heading2"/>
      </w:pPr>
      <w:r>
        <w:t xml:space="preserve">Vnímaný pôvod rozhovoru</w:t>
      </w:r>
    </w:p>
    <w:p>
      <w:pPr>
        <w:pStyle w:val="FirstParagraph"/>
      </w:pPr>
      <w:r>
        <w:t xml:space="preserve">Položka odhadovaného pôvodu rozhovoru bola vyplnená len pri menšej časti hodnotení. Z celkového súboru 199 hodnotení zostalo 141 odpovedí nevyplnených; medzi vyplnenými odpoveďami sa najčastejšie objavovalo označenie „ľudsky simulovaný rozhovor“ (31 hodnotení), nasledované kategóriou „AI-generovaný rozhovor“ (21 hodnotení), zatiaľ čo kategória „reálny participant“ sa objavila len 6-krát. Istota tohto odhadu bola navyše skôr nízka až stredná (M = 2,57; medián = 2). Tento blok preto ostáva čisto exploratórny.</w:t>
      </w:r>
    </w:p>
    <w:bookmarkEnd w:id="85"/>
    <w:bookmarkStart w:id="86" w:name="otvorené-komentáre"/>
    <w:p>
      <w:pPr>
        <w:pStyle w:val="Heading2"/>
      </w:pPr>
      <w:r>
        <w:t xml:space="preserve">Otvorené komentáre</w:t>
      </w:r>
    </w:p>
    <w:p>
      <w:pPr>
        <w:pStyle w:val="FirstParagraph"/>
      </w:pPr>
      <w:r>
        <w:t xml:space="preserve">Otvorené komentáre dopĺňali kvantitatívny obraz konkrétnejším opisom slabších miest rozhovorov. Najčastejšie sa opakoval motív nacvičenosti, šablónovitosti alebo príliš disciplinovaného priebehu odpovedí. Menej často sa objavovali lokálne jazykové neprirodzenosti, rodová nekonzistentnosť, potreba jemnejších doplňujúcich otázok a pripomienky, že časť rozhovorov sa miestami posúvala smerom k úzkostnej symptomatike, vyhoreniu alebo inému klinickému obrazu. Kvalitatívna vrstva tak skôr než masívny klinický rozpad ukazuje jemnejší problém štýlu a organickosti simulácie.</w:t>
      </w:r>
    </w:p>
    <w:bookmarkEnd w:id="86"/>
    <w:bookmarkEnd w:id="87"/>
    <w:bookmarkStart w:id="88" w:name="stručné-zhrnutie-výsledkov"/>
    <w:p>
      <w:pPr>
        <w:pStyle w:val="Heading1"/>
      </w:pPr>
      <w:r>
        <w:t xml:space="preserve">Stručné zhrnutie výsledkov</w:t>
      </w:r>
    </w:p>
    <w:p>
      <w:pPr>
        <w:pStyle w:val="FirstParagraph"/>
      </w:pPr>
      <w:r>
        <w:t xml:space="preserve">Predbežná expertná obsahová kontrola ukázala, že jadro hodnotiaceho nástroja aj východiskových scenárov je použiteľné, no zároveň upozornila na slabšie formulované defektové položky a na potrebu doladiť časť scenárov, najmä tam, kde experti vnímali závažnosť vyššie, než bolo pôvodne zamýšľané.</w:t>
      </w:r>
    </w:p>
    <w:p>
      <w:pPr>
        <w:pStyle w:val="BodyText"/>
      </w:pPr>
      <w:r>
        <w:t xml:space="preserve">Analyzovaný súbor 199 hodnotení ukázal, že simulované rozhovory boli v priemere hodnotené ako skôr klinicky vierohodné, jazykovo relatívne prirodzené a skôr dobre použiteľné na tréningové alebo výučbové účely, pričom defekty zostávali skôr v nižšom pásme. Na úrovni vnútornej konzistencie pôsobil nástroj prijateľne až dobre, no interrater vrstva ostala limitovaná, keďže ICC odhady pre jadrové outcome-y neboli v aktuálnom spracovaní numericky reportovateľné.</w:t>
      </w:r>
    </w:p>
    <w:p>
      <w:pPr>
        <w:pStyle w:val="BodyText"/>
      </w:pPr>
      <w:r>
        <w:t xml:space="preserve">Na úrovni hlavných konfirmačných hypotéz sa neobjavil jasný a konzistentný dôkaz, že by štruktúrujúce klinické usmernenie alebo rozvinutejší profil odpovedania systematicky zvyšovali klinickú vierohodnosť, prirodzenosť, tréningovú použiteľnosť alebo znižovali transcript-level odchýlku voči referenčným seed profilom. Objavili sa len doplnkové signály v sekundárnych ordinálnych modeloch pre ľudské odhady závažnosti a funkčného dopadu, ktoré však samy osebe netvoria jadro testovaných hypotéz. Exploratorná vrstva napokon naznačila, že hlavná slabina simulácií nespočívala v masívnej chybovosti, ale skôr v dojme nacvičenosti, šablónovitosti a miestami zníženej organickosti rozhovoru.</w:t>
      </w:r>
    </w:p>
    <w:bookmarkEnd w:id="88"/>
    <w:bookmarkStart w:id="98" w:name="diskusia-1"/>
    <w:p>
      <w:pPr>
        <w:pStyle w:val="Heading1"/>
      </w:pPr>
      <w:r>
        <w:t xml:space="preserve">Diskusia</w:t>
      </w:r>
    </w:p>
    <w:bookmarkStart w:id="89" w:name="stručné-zhrnutie-hlavných-zistení"/>
    <w:p>
      <w:pPr>
        <w:pStyle w:val="Heading2"/>
      </w:pPr>
      <w:r>
        <w:t xml:space="preserve">Stručné zhrnutie hlavných zistení</w:t>
      </w:r>
    </w:p>
    <w:p>
      <w:pPr>
        <w:pStyle w:val="FirstParagraph"/>
      </w:pPr>
      <w:r>
        <w:t xml:space="preserve">Cieľom práce bolo metodologicky overiť kvalitu AI-generovaných simulovaných klinických rozhovorov s depresívnou symptomatikou a preskúmať, či sa ich kvalita mení podľa prítomnosti štruktúrujúceho klinického usmernenia a podľa profilu odpovedania simulovaného pacienta. Aktuálny analyzovaný súbor priniesol šesť hlavných zistení.</w:t>
      </w:r>
    </w:p>
    <w:p>
      <w:pPr>
        <w:pStyle w:val="BodyText"/>
      </w:pPr>
      <w:r>
        <w:t xml:space="preserve">Po prvé, predbežná expertná obsahová kontrola ukázala, že jadro autorského hodnotiaceho nástroja aj východiskové scenáre sú obsahovo použiteľné, ale zároveň upozornila na slabšie miesta v časti defektových položiek a pri niektorých scenároch. Po druhé, samotné prepisy rozhovorov boli v priemere hodnotené ako skôr klinicky vierohodné, jazykovo relatívne prirodzené a skôr použiteľné na tréningové účely, pričom defekty zostávali skôr v nižšom pásme. Po tretie, viaceré rozdelenia hodnotení boli stlačené do úzkeho stredne vyššieho pásma, takže veľká časť dát sa nepohybovala na osi „dobré verzus zlé“, ale skôr na osi „celkom dobré verzus o niečo lepšie alebo slabšie“. Po štvrté, v aktuálnych dátach sa neobjavil jasný a robustný dôkaz, že by samotné zapnutie štruktúrujúceho klinického usmernenia alebo rozvinutejší profil odpovedania systematicky zlepšovali hlavné výsledkové ukazovatele. Po piate, dominantnou slabinou simulácií nebol hrubý klinický rozpad, ale skôr mechanickosť, miestami nacvičenosť a slabšie doplňujúce otázky. Po šieste, kľúčovým limitom dátového súboru zostáva vrstva hodnotiteľov, keďže panel bol malý a zapájal sa nerovnomerne.</w:t>
      </w:r>
    </w:p>
    <w:p>
      <w:pPr>
        <w:pStyle w:val="BodyText"/>
      </w:pPr>
      <w:r>
        <w:t xml:space="preserve">V súhrne teda výsledky podporujú skôr opatrný záver, že generovaný materiál už dosahuje úroveň použiteľného pilotného simulačného materiálu, no zatiaľ neukazuje presvedčivý dôkaz, že by ho bolo možné jednoducho a stabilne optimalizovať jednou generatívnou manipuláciou.</w:t>
      </w:r>
    </w:p>
    <w:bookmarkEnd w:id="89"/>
    <w:bookmarkStart w:id="90" w:name="interpretácia-hlavných-zistení"/>
    <w:p>
      <w:pPr>
        <w:pStyle w:val="Heading2"/>
      </w:pPr>
      <w:r>
        <w:t xml:space="preserve">Interpretácia hlavných zistení</w:t>
      </w:r>
    </w:p>
    <w:p>
      <w:pPr>
        <w:pStyle w:val="FirstParagraph"/>
      </w:pPr>
      <w:r>
        <w:t xml:space="preserve">Najvýraznejším celkovým obrazom výsledkov je napätie medzi priaznivým priemerom a slabšou diferenciačnou silou merania. Ako ukázala Tabuľka 2, index klinickej vierohodnosti dosiahol priemer 4,08, prirodzenosť jazyka 3,92 a tréningová použiteľnosť 3,95, zatiaľ čo index defektov ostal nízky. Tento obraz by sa dal pri povrchnom čítaní interpretovať ako jednoznačne priaznivý. Frekvenčné rozdelenia v Tabuľke 3 a prekryv odhadovaných marginálnych priemerov v Obrázkoch 1 a 2 však ukazujú, že veľká časť rozhovorov sa koncentrovala v relatívne úzkom pásme stredne vyšších hodnotení. To znamená, že aktuálny korpus nepôsobí ako zbierka zjavne nekvalitných simulácií, ale zároveň neposkytuje veľmi široký priestor na zachytenie jemných rozdielov medzi podmienkami.</w:t>
      </w:r>
    </w:p>
    <w:p>
      <w:pPr>
        <w:pStyle w:val="BodyText"/>
      </w:pPr>
      <w:r>
        <w:t xml:space="preserve">Z interpretačného hľadiska je to dôležité. Naznačuje to, že simulačný rámec už vie generovať rozhovory, ktoré expertov spravidla nevedú k dojmu zjavného klinického zlyhania. Zároveň to však znamená, že slabý alebo nulový efekt štruktúrujúceho klinického usmernenia či profilu odpovedania nemožno čítať iba ako dôkaz ich neúčinnosti. Časť slabosti efektov môže byť reálna, ale časť môže súvisieť aj s kompresiou škály, malým a nevyváženým panelom hodnotiteľov a pilotnou povahou materiálu.</w:t>
      </w:r>
    </w:p>
    <w:p>
      <w:pPr>
        <w:pStyle w:val="BodyText"/>
      </w:pPr>
      <w:r>
        <w:t xml:space="preserve">V tomto svetle je dôležité, že jadrové hypotézy vrátane H4 nedostali v hlavných modeloch presvedčivú oporu. Výsledky preto nepodporujú silný záver, že by štruktúrujúce klinické usmernenie samo osebe zvyšovalo klinickú vierohodnosť, prirodzenosť jazyka alebo tréningovú použiteľnosť, ani že by rozvinutejší profil odpovedania automaticky zlepšoval výsledný rozhovor alebo jeho zhodu s kotvami. Presnejšie povedané, aktuálny dátový súbor skôr ukazuje, že tieto manipulácie mohli vytvárať drobné smerové posuny, ale ich efekt nebol natoľko silný a stabilný, aby tvoril konfirmačné jadro práce.</w:t>
      </w:r>
    </w:p>
    <w:bookmarkEnd w:id="90"/>
    <w:bookmarkStart w:id="91" w:name="Xdb97b7414cbc338b2b58f8d85f5b9f414a941ea"/>
    <w:p>
      <w:pPr>
        <w:pStyle w:val="Heading2"/>
      </w:pPr>
      <w:r>
        <w:t xml:space="preserve">Čo do interpretácie vnáša predbežná expertná obsahová kontrola</w:t>
      </w:r>
    </w:p>
    <w:p>
      <w:pPr>
        <w:pStyle w:val="FirstParagraph"/>
      </w:pPr>
      <w:r>
        <w:t xml:space="preserve">Predbežná expertná obsahová kontrola je dôležitou súčasťou interpretácie, nie iba technickým predkrokom. Ukázala totiž, že hodnotiaci nástroj ani východiskové scenáre nevstupovali do hlavného zberu ako úplne nepreverený materiál. Globálne položky a ľudské odhady závažnosti či funkčného dopadu boli expertmi podporené pomerne priaznivo, čo posilňuje argument, že jadro konštruktu bolo uchopené zmysluplne. Zároveň však táto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naznačila, že práve defektový blok môže byť citlivejší na interpretačný štýl jednotlivých hodnotiteľov. Podobne sa pri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ukázal nesúlad medzi zamýšľanou a expertne vnímanou závažnosťou, čo znamená, že časť variability v neskorších ľudských odhadoch závažnosti a v ukazovateľoch odchýlky voči kotvám nemusí byť iba vlastnosťou modelu alebo hodnotiteľov, ale aj dôsledkom menej jednoznačne ukotveného podnetového materiálu.</w:t>
      </w:r>
    </w:p>
    <w:p>
      <w:pPr>
        <w:pStyle w:val="BodyText"/>
      </w:pPr>
      <w:r>
        <w:t xml:space="preserve">Pre diskusiu to znamená dve veci. Po prvé, výsledky nemožno redukovať na otázku, či „funguje“ alebo „nefunguje“ jedna konkrétna generatívna manipulácia. Po druhé, metodická sila práce neleží iba v porovnaní experimentálnych buniek, ale aj v tom, že hodnotiaci nástroj a východiskové scenáre prešli pred hlavným zberom obsahovou kalibráciou. Nejde ešte o plnohodnotnú psychometrickú validačnú štúdiu, ale o dôležitý filter, ktorý zvyšuje dôveryhodnosť neskoršej interpretácie.</w:t>
      </w:r>
    </w:p>
    <w:bookmarkEnd w:id="91"/>
    <w:bookmarkStart w:id="92" w:name="X45f77e487d43509e77656f728fdff46259062ee"/>
    <w:p>
      <w:pPr>
        <w:pStyle w:val="Heading2"/>
      </w:pPr>
      <w:r>
        <w:t xml:space="preserve">Prečo sa efekt štruktúrujúceho usmernenia a profilu neukázal silnejšie</w:t>
      </w:r>
    </w:p>
    <w:p>
      <w:pPr>
        <w:pStyle w:val="FirstParagraph"/>
      </w:pPr>
      <w:r>
        <w:t xml:space="preserve">Najprv treba povedať, že výsledky neukazujú úplnú absenciu pravidelností. Pri indexe defektov bol efekt štruktúrujúceho klinického usmernenia smerovo mierne priaznivý a v doplnkových ordinálnych modeloch sa objavili aj slabšie signály pri ľudských odhadoch závažnosti a funkčného dopadu. Tieto posuny však netvorili konzistentný obraz naprieč jadrovými ukazovateľmi a vetvou ukazovateľov odchýlky voči kotvám, preto ich nemožno interpretovať ako silný dôkaz podporujúci hlavné hypotézy.</w:t>
      </w:r>
    </w:p>
    <w:p>
      <w:pPr>
        <w:pStyle w:val="BodyText"/>
      </w:pPr>
      <w:r>
        <w:t xml:space="preserve">Jedno možné vysvetlenie je, že manipulácia bola vzhľadom na cieľ práce príliš hrubá. Samotné dichotomické rozlíšenie medzi absenciou a prítomnosťou štruktúrujúceho klinického usmernenia zrejme nestačí na to, aby systematicky zmenilo kvalitu výsledného rozhovoru vo všetkých sledovaných dimenziách. V praxi môže kvalitu rozhovoru ovplyvňovať celý rad jemnejších prvkov: presná formulácia usmernenia, spôsob vedenia doplňujúcich otázok, miera lokálnej variability odpovedí, pravidlá postupného odhaľovania ťažkostí alebo jazyková prirodzenosť výmen.</w:t>
      </w:r>
    </w:p>
    <w:p>
      <w:pPr>
        <w:pStyle w:val="BodyText"/>
      </w:pPr>
      <w:r>
        <w:t xml:space="preserve">Druhé vysvetlenie sa týka profilu odpovedania. Rozvinutejší profil nemusí byť automaticky kvalitnejší. Viac textu a viac detailov môže zvyšovať pocit prirodzenosti len dovtedy, kým sa nepreklopia do dojmu pripravenosti, mechanickosti alebo príliš disciplinovanej odpovede. V tomto zmysle je vhodnejšie uvažovať o tom, že profil</w:t>
      </w:r>
      <w:r>
        <w:t xml:space="preserve"> </w:t>
      </w:r>
      <w:r>
        <w:rPr>
          <w:rStyle w:val="VerbatimChar"/>
        </w:rPr>
        <w:t xml:space="preserve">P3</w:t>
      </w:r>
      <w:r>
        <w:t xml:space="preserve"> </w:t>
      </w:r>
      <w:r>
        <w:t xml:space="preserve">nemení kvalitu lineárne smerom nahor, ale skôr presúva typ možných nedostatkov.</w:t>
      </w:r>
    </w:p>
    <w:p>
      <w:pPr>
        <w:pStyle w:val="BodyText"/>
      </w:pPr>
      <w:r>
        <w:t xml:space="preserve">Tretie vysvetlenie je meracie. Ak hodnotenia ostávajú v úzkom pásme a panel hodnotiteľov je malý a nerovnomerný, malé efekty majú nízku šancu ukázať sa ako robustné. To neznamená, že v dátach boli skryté veľké efekty, skôr to znamená, že pre malé a stredné rozdiely bol tento pilot málo citlivý.</w:t>
      </w:r>
    </w:p>
    <w:bookmarkEnd w:id="92"/>
    <w:bookmarkStart w:id="93" w:name="X1a524b4215338d963df93d7512fb94c08a912ff"/>
    <w:p>
      <w:pPr>
        <w:pStyle w:val="Heading2"/>
      </w:pPr>
      <w:r>
        <w:t xml:space="preserve">Kde sa simulácie lámu: mechanickosť skôr než klinické jadro</w:t>
      </w:r>
    </w:p>
    <w:p>
      <w:pPr>
        <w:pStyle w:val="FirstParagraph"/>
      </w:pPr>
      <w:r>
        <w:t xml:space="preserve">Najzaujímavejším výstupom exploratórnej kvalitatívnej vrstvy je, že dominantnou témou otvorených komentárov nebol hrubý klinický rozpad, ale mechanickosť, šablónovitosť a miestami aj príliš disciplinovaný priebeh odpovedí. Tento motív je dôležitý, pretože mení interpretáciu toho, čo je dnes na simuláciách najslabšie. Nezdá sa, že by systém primárne zlyhával v udržaní základného depresívneho rámca. Slabšie miesto je skôr v mikrodynamike rozhovoru: v prirodzenosti váhania, v organickosti doplňujúcich otázok, v lokálnej koherencii detailov a v schopnosti niesť klinicky významný obsah bez dojmu, že odpoveď je pripravená pre hodnotenie.</w:t>
      </w:r>
    </w:p>
    <w:p>
      <w:pPr>
        <w:pStyle w:val="BodyText"/>
      </w:pPr>
      <w:r>
        <w:t xml:space="preserve">Tento obraz dobre korešponduje s novšou literatúrou o virtuálnych klientoch a LLM simuláciách. Ako ukazujú</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digitálne simulácie môžu byť didakticky cenné už vtedy, keď ešte nedosahujú plný realizmus, ale ich slabinou býva práve prílišná kooperatívnosť, nižšia spontánnosť alebo mechanickejší štýl odpovedí. Aj v tomto korpuse sa teda slabina neukazuje v základnom uchopení depresívneho rámca, ale skôr v tom, že časť odpovedí pôsobí príliš učebnicovo.</w:t>
      </w:r>
    </w:p>
    <w:p>
      <w:pPr>
        <w:pStyle w:val="BodyText"/>
      </w:pPr>
      <w:r>
        <w:t xml:space="preserve">Zaujímavé je aj to, že vetva ukazovateľov odchýlky voči kotvám zostala skôr umiernená. Priemerná absolútna odchýlka v symptomatických doménach nebola vysoká a smer efektu usmernenia bol mierne priaznivý, ale malý. To znamená, že základná symptomatická logika sa v mnohých prepisoch rozhovorov udržala lepšie, než by sa z otvorených komentárov o mechanickosti mohlo zdať. Zároveň sa však nepotvrdzuje predstava, že by usmernenie alebo rozvinutejší profil odpovedania automaticky vyriešili zhodu s kotvami výrazným spôsobom.</w:t>
      </w:r>
    </w:p>
    <w:bookmarkEnd w:id="93"/>
    <w:bookmarkStart w:id="94" w:name="X1b57c2eefceecc055034be6e93e1236343d84bc"/>
    <w:p>
      <w:pPr>
        <w:pStyle w:val="Heading2"/>
      </w:pPr>
      <w:r>
        <w:t xml:space="preserve">Tréningová použiteľnosť a vzťah k literatúre</w:t>
      </w:r>
    </w:p>
    <w:p>
      <w:pPr>
        <w:pStyle w:val="FirstParagraph"/>
      </w:pPr>
      <w:r>
        <w:t xml:space="preserve">To, že tréningová použiteľnosť (</w:t>
      </w:r>
      <w:r>
        <w:rPr>
          <w:rStyle w:val="VerbatimChar"/>
        </w:rPr>
        <w:t xml:space="preserve">G5</w:t>
      </w:r>
      <w:r>
        <w:t xml:space="preserve">) dosiahla v priemere hodnotu blízku kategórii „skôr použiteľné“, je z aplikačného hľadiska povzbudivé. Znamená to, že expertný panel v priemere nevnímal tieto prepisy rozhovorov ako principiálne nepoužiteľné. Pre psychologické vzdelávanie je to dôležité, pretože simulácie nemusia byť dokonalé, aby mali didaktickú hodnotu. Ako zdôrazňujú</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a</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rozhovoru a klinické uvažovanie.</w:t>
      </w:r>
    </w:p>
    <w:p>
      <w:pPr>
        <w:pStyle w:val="BodyText"/>
      </w:pPr>
      <w:r>
        <w:t xml:space="preserve">Zároveň však komentáre o mechanickosti a slabších doplňujúcich otázkach naznačujú, že tento materiál ešte nie je ideálny ako úplne samonosný tréningový nástroj. Presvedčivejšie vyzerá ako materiál vhodný do kontrolovaného výučbového rámca, v ktorom je prítomný debriefing, spätná väzba alebo supervízia. V tomto bode sa výsledky zhodujú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p>
      <w:pPr>
        <w:pStyle w:val="BodyText"/>
      </w:pPr>
      <w:r>
        <w:t xml:space="preserve">Výsledky sa zároveň dobre čítajú aj v širšom rámci napätia medzi štandardizáciou a ekologickou validitou.</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ukazujú, že štandardizácia je didakticky aj výskumne užitočná, no vždy sa pohybuje v napätí s prirodzenosťou a spontánnosťou. Aktuálny korpus ukazuje presne tento problém: rozhovory sú dostatočne disciplinované na to, aby držali základný klinický rámec, no práve táto disciplína môže znižovať pocit autenticity.</w:t>
      </w:r>
    </w:p>
    <w:p>
      <w:pPr>
        <w:pStyle w:val="BodyText"/>
      </w:pPr>
      <w:r>
        <w:t xml:space="preserve">Relevantný je aj širší rámec kvality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tejto práci sa problém neukázal ako masívna halucinačná chybovosť. Ukázal sa skôr ako jemný rozdiel medzi tým, že rozhovor „znie celkom dobre“, a tým, že je aj pri bližšom odbornom čítaní dostatočne organický, klinicky presvedčivý a metodicky spoľahlivý.</w:t>
      </w:r>
    </w:p>
    <w:bookmarkEnd w:id="94"/>
    <w:bookmarkStart w:id="95" w:name="metodologický-prínos-a-limity-práce"/>
    <w:p>
      <w:pPr>
        <w:pStyle w:val="Heading2"/>
      </w:pPr>
      <w:r>
        <w:t xml:space="preserve">Metodologický prínos a limity práce</w:t>
      </w:r>
    </w:p>
    <w:p>
      <w:pPr>
        <w:pStyle w:val="FirstParagraph"/>
      </w:pPr>
      <w:r>
        <w:t xml:space="preserve">Za hlavný metodologický prínos práce nepovažujem dôkaz silného experimentálneho efektu, ale vybudovanie viacvrstvového simulačného rámca. Práca nespája iba jedno textové zadanie pre model a jeden balík prepisov rozhovorov. Spája východiskové scenáre, kontrolované generovanie, predbežnú expertnú obsahovú kontrolu, autorský hodnotiaci nástroj a viacúrovňové výsledkové ukazovatele zahŕňajúce globálnu kvalitu, defekty aj zhodu s kotvami. Tento rámec je metodologicky prenositeľný aj na ďalšie klinické okruhy.</w:t>
      </w:r>
    </w:p>
    <w:p>
      <w:pPr>
        <w:pStyle w:val="BodyText"/>
      </w:pPr>
      <w:r>
        <w:t xml:space="preserve">Zároveň má práca viacero jasných limitov. Prvým je pilotný charakter dátového súboru a relatívne malý, nevyvážený panel hodnotiteľov. Čísla preto treba čítať ako odhad smeru a veľkosti efektov, nie ako definitívne uzavretý obraz kvality simulácií. Druhým limitom je architektúra ratingovej vrstvy. Tabuľka 5 ukázala, že ICC odhady pre jadrové ukazovatele neboli v aktuálnom spracovaní numericky reportovateľné. To samo osebe neznamená, že výsledky sú nepoužiteľné, ale významne to oslabuje silu inferencií založených na jemných rozdieloch medzi ľudskými hodnoteniami. Tretím limitom je nevyváženosť počtov hodnotení medzi bunkami a stlačené rozdelenie viacerých ukazovateľov, ktoré znižujú citlivosť na malé rozdiely medzi podmienkami. Štvrtým limitom je citlivosť vetvy ukazovateľov odchýlky voči kotvám na úrovni prepisu rozhovoru na malý a nevyvážený panel hodnotiteľov a na agregáciu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Piatym limitom je samotná povaha podnetového materiálu: hodnotené boli textové simulácie, nie živé multimodálne rozhovory, takže v nich chýbajú neverbálne a paralingvistické znaky, ktoré v reálnej klinickej situácii spoluutvárajú dojem z klienta aj interpretáciu symptomatiky.</w:t>
      </w:r>
    </w:p>
    <w:p>
      <w:pPr>
        <w:pStyle w:val="BodyText"/>
      </w:pPr>
      <w:r>
        <w:t xml:space="preserve">Za dôležité považujem aj to, že doplnkový model s náhodným interceptom pre konkrétny prepis rozhovoru zachoval smer hlavných aj interakčných efektov, hoci táto overovacia vetva ostala singularná. Tabuľka S6 preto neposkytuje dôvod meniť hlavný interpretačný obraz, ale zároveň neprináša dostatočne silný argument na jeho zosilnenie.</w:t>
      </w:r>
    </w:p>
    <w:bookmarkEnd w:id="95"/>
    <w:bookmarkStart w:id="96" w:name="praktické-implikácie-a-ďalší-výskum"/>
    <w:p>
      <w:pPr>
        <w:pStyle w:val="Heading2"/>
      </w:pPr>
      <w:r>
        <w:t xml:space="preserve">Praktické implikácie a ďalší výskum</w:t>
      </w:r>
    </w:p>
    <w:p>
      <w:pPr>
        <w:pStyle w:val="FirstParagraph"/>
      </w:pPr>
      <w:r>
        <w:t xml:space="preserve">Z praktického hľadiska práca naznačuje, že AI-generované simulované rozhovory môžu mať miesto ako doplnkový tréningový materiál v psychologickom vzdelávaní, najmä ak sú zasadené do kontrolovaného rámca so spätnou väzbou. V tejto fáze však nejde o argument pre náhradu živého kontaktu s klientom, supervízie alebo štandardizovaného pacienta. Presvedčivejší je argument pre bezpečný medzikrok, na ktorom možno trénovať vedenie rozhovoru, identifikáciu jadra symptomatiky a reflexiu limitov simulovaného materiálu.</w:t>
      </w:r>
    </w:p>
    <w:p>
      <w:pPr>
        <w:pStyle w:val="BodyText"/>
      </w:pPr>
      <w:r>
        <w:t xml:space="preserve">Z metodologického hľadiska je najrozumnejším ďalším krokom neposúvať hneď priestor prepisov rozhovorov, ale najprv posilniť vrstvu expertného hodnotenia. Vzhľadom na aktuálny obraz by mal veľkú hodnotu ešte aspoň jeden ďalší hodnotiteľ s plným pokrytím existujúcich 72 prepisov rozhovorov. Takýto krok by zlepšil interpretovateľnosť zhody aj stabilitu inferenčných modelov viac než ďalšie rozširovanie korpusu pri nezmenenej meracej vrstve.</w:t>
      </w:r>
    </w:p>
    <w:p>
      <w:pPr>
        <w:pStyle w:val="BodyText"/>
      </w:pPr>
      <w:r>
        <w:t xml:space="preserve">Popri tom je potrebné prepracovať návrh generovania so zameraním na zníženie nacvičenosti odpovedí, väčšiu prirodzenosť doplňujúcich otázok a lepšie odlíšenie depresívneho obrazu od všeobecného stresu, úzkostného ladenia alebo vyhorenia. Až potom bude mať väčší zmysel systematickejšie porovnávať viac modelov, viac architektúr riadenia simulácie alebo priamo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Samostatnou budúcou úlohou je aj dotiahnutie vetvy ukazovateľov odchýlky voči kotvám tak, aby mala rovnaký evidenčný status ako ostatné bloky výsledkových ukazovateľov. To znamená spresniť anchorovanie, stabilizovať panel hodnotiteľov a udržať dôsledné spracovanie na úrovni prepisu rozhovoru tam, kde sa výsledok vzťahuje k vlastnostiam konkrétneho prepisu rozhovoru, nie k počtu hodnotení.</w:t>
      </w:r>
    </w:p>
    <w:bookmarkEnd w:id="96"/>
    <w:bookmarkStart w:id="97" w:name="záver-diskusie"/>
    <w:p>
      <w:pPr>
        <w:pStyle w:val="Heading2"/>
      </w:pPr>
      <w:r>
        <w:t xml:space="preserve">Záver diskusie</w:t>
      </w:r>
    </w:p>
    <w:p>
      <w:pPr>
        <w:pStyle w:val="FirstParagraph"/>
      </w:pPr>
      <w:r>
        <w:t xml:space="preserve">Aktuálny korpus ukazuje, že AI-generované simulované rozhovory s depresívnou symptomatikou už možno považovať za metodicky použiteľný pilotný materiál, nie však ešte za plne stabilné a jednoducho optimalizovateľné riešenie. Rozhovory držia základný klinický rámec a v priemere nepôsobia ako zjavne nekvalitné, ale ich slabinou zostáva mechanickosť, stlačené rozdelenie hodnotení, limitovaná zhoda expertov a opatrná interpretovateľnosť vetvy zhody s kotvami.</w:t>
      </w:r>
    </w:p>
    <w:p>
      <w:pPr>
        <w:pStyle w:val="BodyText"/>
      </w:pPr>
      <w:r>
        <w:t xml:space="preserve">Hlavným prínosom práce preto v tejto fáze nie je dôkaz silného efektu jednej generatívnej manipulácie, ale ukázanie, že kvalitu takýchto simulácií možno systematicky mapovať, porovnávať a postupne zlepšovať v rámci kontrolovaného simulačného rámca. Práve táto metodická mapa je v aktuálnej fáze presvedčivejším výsledkom než predčasne tvrdý záver, že jedna konkrétna generatívna úprava už problém kvality vyriešila.</w:t>
      </w:r>
    </w:p>
    <w:bookmarkEnd w:id="97"/>
    <w:bookmarkEnd w:id="98"/>
    <w:bookmarkStart w:id="99" w:name="záver"/>
    <w:p>
      <w:pPr>
        <w:pStyle w:val="Heading1"/>
      </w:pPr>
      <w:r>
        <w:t xml:space="preserve">Záver</w:t>
      </w:r>
    </w:p>
    <w:p>
      <w:pPr>
        <w:pStyle w:val="FirstParagraph"/>
      </w:pPr>
      <w:r>
        <w:t xml:space="preserve">Cieľom diplomovej práce bolo metodologicky overiť kvalitu AI-generovaných simulovaných klinických rozhovorov s depresívnou symptomatikou a preskúmať, či sa ich kvalita mení podľa prítomnosti štruktúrujúceho klinického usmernenia a podľa profilu odpovedania simulovaného pacienta. Práca bola koncipovaná ako faktorový experiment založený na odbornom hodnotení, v ktorom 6 hodnotiteľov posudzovalo 72 textových prepisov rozhovorov vytvorených kombináciou 12 východiskových scenárov a 6 variantov generovania; hlavný analyzovaný súbor tvorilo 199 hodnotení.</w:t>
      </w:r>
    </w:p>
    <w:p>
      <w:pPr>
        <w:pStyle w:val="BodyText"/>
      </w:pPr>
      <w:r>
        <w:t xml:space="preserve">Hlavným prínosom práce je vytvorenie a pilotné overenie viacvrstvového rámca hodnotenia, ktorý kombinuje globálnu kvalitu rozhovoru, ukazovatele defektov a zhodu s kotvami východiskových scenárov. Tento rámec umožňuje posudzovať simulované rozhovory nielen ako jazykovo plynulý text, ale ako metodicky kontrolovaný psychologický materiál.</w:t>
      </w:r>
    </w:p>
    <w:p>
      <w:pPr>
        <w:pStyle w:val="BodyText"/>
      </w:pPr>
      <w:r>
        <w:t xml:space="preserve">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Kvalitatívna vrstva naznačila, že dominantnou slabinou simulácií nie je hrubý klinický rozpad, ale skôr mechanickosť, šablónovitosť a slabšie doplňujúce otázky. Interpretačnú silu výsledkov zároveň obmedzil malý a nerovnomerný panel hodnotiteľov a nevyplnené ICC odhady.</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prepisov rozhovorov, ale aj metodický podklad pre budúci simulačný rámec, ktorý možno rozširovať na ďalšie klinické okruhy a neskôr aj na multimodálne formy interakcie.</w:t>
      </w:r>
    </w:p>
    <w:p>
      <w:pPr>
        <w:pStyle w:val="BodyText"/>
      </w:pPr>
      <w:r>
        <w:t xml:space="preserve">Zároveň však práca ukazuje, že ide o oblasť, ktorá si vyžaduje ďalší výskum, najmä pokiaľ ide o stabilitu výsledkov, posilnenie vrstvy hodnotiteľov, spresnenie generovania a porovnanie viacerých modelov či klinických scenárov. Predkladanú štúdiu preto možno chápať ako pilotný krok k systematickejšiemu skúmaniu kvality AI-generovaných psychologických simulácií.</w:t>
      </w:r>
    </w:p>
    <w:bookmarkEnd w:id="99"/>
    <w:bookmarkStart w:id="187" w:name="literatúra"/>
    <w:p>
      <w:pPr>
        <w:pStyle w:val="Heading1"/>
      </w:pPr>
      <w:r>
        <w:t xml:space="preserve">Literatúra</w:t>
      </w:r>
    </w:p>
    <w:bookmarkStart w:id="186" w:name="refs"/>
    <w:bookmarkStart w:id="101"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00">
        <w:r>
          <w:rPr>
            <w:rStyle w:val="Hyperlink"/>
          </w:rPr>
          <w:t xml:space="preserve">https://doi.org/10.4103/ipj.ipj_377_24</w:t>
        </w:r>
      </w:hyperlink>
    </w:p>
    <w:bookmarkEnd w:id="101"/>
    <w:bookmarkStart w:id="103"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02">
        <w:r>
          <w:rPr>
            <w:rStyle w:val="Hyperlink"/>
          </w:rPr>
          <w:t xml:space="preserve">https://doi.org/10.1038/s41746-025-01670-7</w:t>
        </w:r>
      </w:hyperlink>
    </w:p>
    <w:bookmarkEnd w:id="103"/>
    <w:bookmarkStart w:id="105"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04">
        <w:r>
          <w:rPr>
            <w:rStyle w:val="Hyperlink"/>
          </w:rPr>
          <w:t xml:space="preserve">https://doi.org/10.3389/feduc.2021.653269</w:t>
        </w:r>
      </w:hyperlink>
    </w:p>
    <w:bookmarkEnd w:id="105"/>
    <w:bookmarkStart w:id="107"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06">
        <w:r>
          <w:rPr>
            <w:rStyle w:val="Hyperlink"/>
          </w:rPr>
          <w:t xml:space="preserve">https://doi.org/10.1111/bjop.12577</w:t>
        </w:r>
      </w:hyperlink>
    </w:p>
    <w:bookmarkEnd w:id="107"/>
    <w:bookmarkStart w:id="109"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08">
        <w:r>
          <w:rPr>
            <w:rStyle w:val="Hyperlink"/>
          </w:rPr>
          <w:t xml:space="preserve">https://doi.org/10.3389/fpubh.2018.00149</w:t>
        </w:r>
      </w:hyperlink>
    </w:p>
    <w:bookmarkEnd w:id="109"/>
    <w:bookmarkStart w:id="111"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10">
        <w:r>
          <w:rPr>
            <w:rStyle w:val="Hyperlink"/>
          </w:rPr>
          <w:t xml:space="preserve">https://doi.org/10.1186/s12909-024-06399-7</w:t>
        </w:r>
      </w:hyperlink>
    </w:p>
    <w:bookmarkEnd w:id="111"/>
    <w:bookmarkStart w:id="112"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12"/>
    <w:bookmarkStart w:id="114"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13">
        <w:r>
          <w:rPr>
            <w:rStyle w:val="Hyperlink"/>
          </w:rPr>
          <w:t xml:space="preserve">https://doi.org/10.3390/nursrep14020107</w:t>
        </w:r>
      </w:hyperlink>
    </w:p>
    <w:bookmarkEnd w:id="114"/>
    <w:bookmarkStart w:id="116"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15">
        <w:r>
          <w:rPr>
            <w:rStyle w:val="Hyperlink"/>
          </w:rPr>
          <w:t xml:space="preserve">https://doi.org/10.4088/JCP.ot18043ah2</w:t>
        </w:r>
      </w:hyperlink>
    </w:p>
    <w:bookmarkEnd w:id="116"/>
    <w:bookmarkStart w:id="118"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17">
        <w:r>
          <w:rPr>
            <w:rStyle w:val="Hyperlink"/>
          </w:rPr>
          <w:t xml:space="preserve">https://doi.org/10.1016/j.ijchp.2014.12.001</w:t>
        </w:r>
      </w:hyperlink>
    </w:p>
    <w:bookmarkEnd w:id="118"/>
    <w:bookmarkStart w:id="120"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19">
        <w:r>
          <w:rPr>
            <w:rStyle w:val="Hyperlink"/>
          </w:rPr>
          <w:t xml:space="preserve">https://doi.org/10.1177/14757257221093490</w:t>
        </w:r>
      </w:hyperlink>
    </w:p>
    <w:bookmarkEnd w:id="120"/>
    <w:bookmarkStart w:id="122"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21">
        <w:r>
          <w:rPr>
            <w:rStyle w:val="Hyperlink"/>
          </w:rPr>
          <w:t xml:space="preserve">https://doi.org/10.1159/000317532</w:t>
        </w:r>
      </w:hyperlink>
    </w:p>
    <w:bookmarkEnd w:id="122"/>
    <w:bookmarkStart w:id="124"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23">
        <w:r>
          <w:rPr>
            <w:rStyle w:val="Hyperlink"/>
          </w:rPr>
          <w:t xml:space="preserve">https://doi.org/10.1046/j.1365-2648.2000.t01-1-01567.x</w:t>
        </w:r>
      </w:hyperlink>
    </w:p>
    <w:bookmarkEnd w:id="124"/>
    <w:bookmarkStart w:id="126"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25">
        <w:r>
          <w:rPr>
            <w:rStyle w:val="Hyperlink"/>
          </w:rPr>
          <w:t xml:space="preserve">https://doi.org/10.1007/s10742-016-0145-9</w:t>
        </w:r>
      </w:hyperlink>
    </w:p>
    <w:bookmarkEnd w:id="126"/>
    <w:bookmarkStart w:id="128"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27">
        <w:r>
          <w:rPr>
            <w:rStyle w:val="Hyperlink"/>
          </w:rPr>
          <w:t xml:space="preserve">https://doi.org/10.1016/S0165-0327(14)70004-7</w:t>
        </w:r>
      </w:hyperlink>
    </w:p>
    <w:bookmarkEnd w:id="128"/>
    <w:bookmarkStart w:id="130"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29">
        <w:r>
          <w:rPr>
            <w:rStyle w:val="Hyperlink"/>
          </w:rPr>
          <w:t xml:space="preserve">https://doi.org/10.3389/frvir.2022.827312</w:t>
        </w:r>
      </w:hyperlink>
    </w:p>
    <w:bookmarkEnd w:id="130"/>
    <w:bookmarkStart w:id="131"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31"/>
    <w:bookmarkStart w:id="133"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32">
        <w:r>
          <w:rPr>
            <w:rStyle w:val="Hyperlink"/>
          </w:rPr>
          <w:t xml:space="preserve">https://doi.org/10.31887/DCNS.2008.10.3/shkennedy</w:t>
        </w:r>
      </w:hyperlink>
    </w:p>
    <w:bookmarkEnd w:id="133"/>
    <w:bookmarkStart w:id="135"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34">
        <w:r>
          <w:rPr>
            <w:rStyle w:val="Hyperlink"/>
          </w:rPr>
          <w:t xml:space="preserve">https://doi.org/10.18653/v1/2025.findings-acl.1332</w:t>
        </w:r>
      </w:hyperlink>
    </w:p>
    <w:bookmarkEnd w:id="135"/>
    <w:bookmarkStart w:id="137"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36">
        <w:r>
          <w:rPr>
            <w:rStyle w:val="Hyperlink"/>
          </w:rPr>
          <w:t xml:space="preserve">https://doi.org/10.2196/14676</w:t>
        </w:r>
      </w:hyperlink>
    </w:p>
    <w:bookmarkEnd w:id="137"/>
    <w:bookmarkStart w:id="139"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38">
        <w:r>
          <w:rPr>
            <w:rStyle w:val="Hyperlink"/>
          </w:rPr>
          <w:t xml:space="preserve">https://doi.org/10.1046/j.1525-1497.2001.016009606.x</w:t>
        </w:r>
      </w:hyperlink>
    </w:p>
    <w:bookmarkEnd w:id="139"/>
    <w:bookmarkStart w:id="141"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40">
        <w:r>
          <w:rPr>
            <w:rStyle w:val="Hyperlink"/>
          </w:rPr>
          <w:t xml:space="preserve">https://doi.org/10.18653/v1/2025.findings-acl.118</w:t>
        </w:r>
      </w:hyperlink>
    </w:p>
    <w:bookmarkEnd w:id="141"/>
    <w:bookmarkStart w:id="143"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42">
        <w:r>
          <w:rPr>
            <w:rStyle w:val="Hyperlink"/>
          </w:rPr>
          <w:t xml:space="preserve">https://doi.org/10.48550/arXiv.2404.13066</w:t>
        </w:r>
      </w:hyperlink>
    </w:p>
    <w:bookmarkEnd w:id="143"/>
    <w:bookmarkStart w:id="145"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44">
        <w:r>
          <w:rPr>
            <w:rStyle w:val="Hyperlink"/>
          </w:rPr>
          <w:t xml:space="preserve">https://doi.org/10.1002/wps.20771</w:t>
        </w:r>
      </w:hyperlink>
    </w:p>
    <w:bookmarkEnd w:id="145"/>
    <w:bookmarkStart w:id="147"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46">
        <w:r>
          <w:rPr>
            <w:rStyle w:val="Hyperlink"/>
          </w:rPr>
          <w:t xml:space="preserve">https://doi.org/10.5817/TF2016-7-90</w:t>
        </w:r>
      </w:hyperlink>
    </w:p>
    <w:bookmarkEnd w:id="147"/>
    <w:bookmarkStart w:id="149"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48">
        <w:r>
          <w:rPr>
            <w:rStyle w:val="Hyperlink"/>
          </w:rPr>
          <w:t xml:space="preserve">https://doi.org/10.1016/j.isci.2024.109713</w:t>
        </w:r>
      </w:hyperlink>
    </w:p>
    <w:bookmarkEnd w:id="149"/>
    <w:bookmarkStart w:id="151" w:name="ref-mchugh2012InterraterReliabilityKappa"/>
    <w:p>
      <w:pPr>
        <w:pStyle w:val="Bibliography"/>
      </w:pPr>
      <w:r>
        <w:t xml:space="preserve">McHugh, M. L. (2012).</w:t>
      </w:r>
      <w:r>
        <w:t xml:space="preserve"> </w:t>
      </w:r>
      <w:hyperlink ns4:id="rId150">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51"/>
    <w:bookmarkStart w:id="152"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52"/>
    <w:bookmarkStart w:id="154"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53">
        <w:r>
          <w:rPr>
            <w:rStyle w:val="Hyperlink"/>
          </w:rPr>
          <w:t xml:space="preserve">https://doi.org/10.1080/00050067.2025.2547800</w:t>
        </w:r>
      </w:hyperlink>
    </w:p>
    <w:bookmarkEnd w:id="154"/>
    <w:bookmarkStart w:id="156"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55">
        <w:r>
          <w:rPr>
            <w:rStyle w:val="Hyperlink"/>
          </w:rPr>
          <w:t xml:space="preserve">https://doi.org/10.1002/sim.6546</w:t>
        </w:r>
      </w:hyperlink>
    </w:p>
    <w:bookmarkEnd w:id="156"/>
    <w:bookmarkStart w:id="158"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57">
        <w:r>
          <w:rPr>
            <w:rStyle w:val="Hyperlink"/>
          </w:rPr>
          <w:t xml:space="preserve">https://doi.org/10.1038/s44277-024-00010-z</w:t>
        </w:r>
      </w:hyperlink>
    </w:p>
    <w:bookmarkEnd w:id="158"/>
    <w:bookmarkStart w:id="160"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59">
        <w:r>
          <w:rPr>
            <w:rStyle w:val="Hyperlink"/>
          </w:rPr>
          <w:t xml:space="preserve">https://doi.org/10.1002/nur.20199</w:t>
        </w:r>
      </w:hyperlink>
    </w:p>
    <w:bookmarkEnd w:id="160"/>
    <w:bookmarkStart w:id="162"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61">
        <w:r>
          <w:rPr>
            <w:rStyle w:val="Hyperlink"/>
          </w:rPr>
          <w:t xml:space="preserve">https://doi.org/10.3389/feduc.2022.840258</w:t>
        </w:r>
      </w:hyperlink>
    </w:p>
    <w:bookmarkEnd w:id="162"/>
    <w:bookmarkStart w:id="164"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63">
        <w:r>
          <w:rPr>
            <w:rStyle w:val="Hyperlink"/>
          </w:rPr>
          <w:t xml:space="preserve">https://doi.org/10.2196/59823</w:t>
        </w:r>
      </w:hyperlink>
    </w:p>
    <w:bookmarkEnd w:id="164"/>
    <w:bookmarkStart w:id="166"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65">
        <w:r>
          <w:rPr>
            <w:rStyle w:val="Hyperlink"/>
          </w:rPr>
          <w:t xml:space="preserve">https://doi.org/10.5480/15-1640</w:t>
        </w:r>
      </w:hyperlink>
    </w:p>
    <w:bookmarkEnd w:id="166"/>
    <w:bookmarkStart w:id="168"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67">
        <w:r>
          <w:rPr>
            <w:rStyle w:val="Hyperlink"/>
          </w:rPr>
          <w:t xml:space="preserve">https://doi.org/10.1080/13284207.2021.1923125</w:t>
        </w:r>
      </w:hyperlink>
    </w:p>
    <w:bookmarkEnd w:id="168"/>
    <w:bookmarkStart w:id="170"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69">
        <w:r>
          <w:rPr>
            <w:rStyle w:val="Hyperlink"/>
          </w:rPr>
          <w:t xml:space="preserve">https://doi.org/10.1186/s12909-025-07668-9</w:t>
        </w:r>
      </w:hyperlink>
    </w:p>
    <w:bookmarkEnd w:id="170"/>
    <w:bookmarkStart w:id="172"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71">
        <w:r>
          <w:rPr>
            <w:rStyle w:val="Hyperlink"/>
          </w:rPr>
          <w:t xml:space="preserve">https://doi.org/10.1186/s40814-019-0493-7</w:t>
        </w:r>
      </w:hyperlink>
    </w:p>
    <w:bookmarkEnd w:id="172"/>
    <w:bookmarkStart w:id="174"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73">
        <w:r>
          <w:rPr>
            <w:rStyle w:val="Hyperlink"/>
          </w:rPr>
          <w:t xml:space="preserve">https://doi.org/10.13060/23362391.2013.127.2.41</w:t>
        </w:r>
      </w:hyperlink>
    </w:p>
    <w:bookmarkEnd w:id="174"/>
    <w:bookmarkStart w:id="176"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75">
        <w:r>
          <w:rPr>
            <w:rStyle w:val="Hyperlink"/>
          </w:rPr>
          <w:t xml:space="preserve">https://doi.org/10.1007/s11136-018-1829-0</w:t>
        </w:r>
      </w:hyperlink>
    </w:p>
    <w:bookmarkEnd w:id="176"/>
    <w:bookmarkStart w:id="178"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177">
        <w:r>
          <w:rPr>
            <w:rStyle w:val="Hyperlink"/>
          </w:rPr>
          <w:t xml:space="preserve">https://doi.org/10.18653/v1/2024.emnlp-main.711</w:t>
        </w:r>
      </w:hyperlink>
    </w:p>
    <w:bookmarkEnd w:id="178"/>
    <w:bookmarkStart w:id="180"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179">
        <w:r>
          <w:rPr>
            <w:rStyle w:val="Hyperlink"/>
          </w:rPr>
          <w:t xml:space="preserve">https://doi.org/10.1186/s41077-016-0035-9</w:t>
        </w:r>
      </w:hyperlink>
    </w:p>
    <w:bookmarkEnd w:id="180"/>
    <w:bookmarkStart w:id="181"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181"/>
    <w:bookmarkStart w:id="182"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182"/>
    <w:bookmarkStart w:id="183"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183"/>
    <w:bookmarkStart w:id="185"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184">
        <w:r>
          <w:rPr>
            <w:rStyle w:val="Hyperlink"/>
          </w:rPr>
          <w:t xml:space="preserve">https://doi.org/10.1038/s43856-025-01283-x</w:t>
        </w:r>
      </w:hyperlink>
    </w:p>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hyperlink" Id="rId159" Target="https://doi.org/10.1002/nur.20199" TargetMode="External" /><Relationship Type="http://schemas.openxmlformats.org/officeDocument/2006/relationships/hyperlink" Id="rId155" Target="https://doi.org/10.1002/sim.6546" TargetMode="External" /><Relationship Type="http://schemas.openxmlformats.org/officeDocument/2006/relationships/hyperlink" Id="rId144" Target="https://doi.org/10.1002/wps.20771" TargetMode="External" /><Relationship Type="http://schemas.openxmlformats.org/officeDocument/2006/relationships/hyperlink" Id="rId125" Target="https://doi.org/10.1007/s10742-016-0145-9" TargetMode="External" /><Relationship Type="http://schemas.openxmlformats.org/officeDocument/2006/relationships/hyperlink" Id="rId175" Target="https://doi.org/10.1007/s11136-018-1829-0" TargetMode="External" /><Relationship Type="http://schemas.openxmlformats.org/officeDocument/2006/relationships/hyperlink" Id="rId127" Target="https://doi.org/10.1016/S0165-0327(14)70004-7" TargetMode="External" /><Relationship Type="http://schemas.openxmlformats.org/officeDocument/2006/relationships/hyperlink" Id="rId117" Target="https://doi.org/10.1016/j.ijchp.2014.12.001" TargetMode="External" /><Relationship Type="http://schemas.openxmlformats.org/officeDocument/2006/relationships/hyperlink" Id="rId148" Target="https://doi.org/10.1016/j.isci.2024.109713" TargetMode="External" /><Relationship Type="http://schemas.openxmlformats.org/officeDocument/2006/relationships/hyperlink" Id="rId102" Target="https://doi.org/10.1038/s41746-025-01670-7" TargetMode="External" /><Relationship Type="http://schemas.openxmlformats.org/officeDocument/2006/relationships/hyperlink" Id="rId184" Target="https://doi.org/10.1038/s43856-025-01283-x" TargetMode="External" /><Relationship Type="http://schemas.openxmlformats.org/officeDocument/2006/relationships/hyperlink" Id="rId157" Target="https://doi.org/10.1038/s44277-024-00010-z" TargetMode="External" /><Relationship Type="http://schemas.openxmlformats.org/officeDocument/2006/relationships/hyperlink" Id="rId123" Target="https://doi.org/10.1046/j.1365-2648.2000.t01-1-01567.x" TargetMode="External" /><Relationship Type="http://schemas.openxmlformats.org/officeDocument/2006/relationships/hyperlink" Id="rId138" Target="https://doi.org/10.1046/j.1525-1497.2001.016009606.x" TargetMode="External" /><Relationship Type="http://schemas.openxmlformats.org/officeDocument/2006/relationships/hyperlink" Id="rId153" Target="https://doi.org/10.1080/00050067.2025.2547800" TargetMode="External" /><Relationship Type="http://schemas.openxmlformats.org/officeDocument/2006/relationships/hyperlink" Id="rId167" Target="https://doi.org/10.1080/13284207.2021.1923125" TargetMode="External" /><Relationship Type="http://schemas.openxmlformats.org/officeDocument/2006/relationships/hyperlink" Id="rId106" Target="https://doi.org/10.1111/bjop.12577" TargetMode="External" /><Relationship Type="http://schemas.openxmlformats.org/officeDocument/2006/relationships/hyperlink" Id="rId121" Target="https://doi.org/10.1159/000317532" TargetMode="External" /><Relationship Type="http://schemas.openxmlformats.org/officeDocument/2006/relationships/hyperlink" Id="rId119" Target="https://doi.org/10.1177/14757257221093490" TargetMode="External" /><Relationship Type="http://schemas.openxmlformats.org/officeDocument/2006/relationships/hyperlink" Id="rId110" Target="https://doi.org/10.1186/s12909-024-06399-7" TargetMode="External" /><Relationship Type="http://schemas.openxmlformats.org/officeDocument/2006/relationships/hyperlink" Id="rId169" Target="https://doi.org/10.1186/s12909-025-07668-9" TargetMode="External" /><Relationship Type="http://schemas.openxmlformats.org/officeDocument/2006/relationships/hyperlink" Id="rId171" Target="https://doi.org/10.1186/s40814-019-0493-7" TargetMode="External" /><Relationship Type="http://schemas.openxmlformats.org/officeDocument/2006/relationships/hyperlink" Id="rId179" Target="https://doi.org/10.1186/s41077-016-0035-9" TargetMode="External" /><Relationship Type="http://schemas.openxmlformats.org/officeDocument/2006/relationships/hyperlink" Id="rId173" Target="https://doi.org/10.13060/23362391.2013.127.2.41" TargetMode="External" /><Relationship Type="http://schemas.openxmlformats.org/officeDocument/2006/relationships/hyperlink" Id="rId177" Target="https://doi.org/10.18653/v1/2024.emnlp-main.711" TargetMode="External" /><Relationship Type="http://schemas.openxmlformats.org/officeDocument/2006/relationships/hyperlink" Id="rId140" Target="https://doi.org/10.18653/v1/2025.findings-acl.118" TargetMode="External" /><Relationship Type="http://schemas.openxmlformats.org/officeDocument/2006/relationships/hyperlink" Id="rId134" Target="https://doi.org/10.18653/v1/2025.findings-acl.1332" TargetMode="External" /><Relationship Type="http://schemas.openxmlformats.org/officeDocument/2006/relationships/hyperlink" Id="rId136" Target="https://doi.org/10.2196/14676" TargetMode="External" /><Relationship Type="http://schemas.openxmlformats.org/officeDocument/2006/relationships/hyperlink" Id="rId163" Target="https://doi.org/10.2196/59823" TargetMode="External" /><Relationship Type="http://schemas.openxmlformats.org/officeDocument/2006/relationships/hyperlink" Id="rId132" Target="https://doi.org/10.31887/DCNS.2008.10.3/shkennedy" TargetMode="External" /><Relationship Type="http://schemas.openxmlformats.org/officeDocument/2006/relationships/hyperlink" Id="rId104" Target="https://doi.org/10.3389/feduc.2021.653269" TargetMode="External" /><Relationship Type="http://schemas.openxmlformats.org/officeDocument/2006/relationships/hyperlink" Id="rId161" Target="https://doi.org/10.3389/feduc.2022.840258" TargetMode="External" /><Relationship Type="http://schemas.openxmlformats.org/officeDocument/2006/relationships/hyperlink" Id="rId108" Target="https://doi.org/10.3389/fpubh.2018.00149" TargetMode="External" /><Relationship Type="http://schemas.openxmlformats.org/officeDocument/2006/relationships/hyperlink" Id="rId129" Target="https://doi.org/10.3389/frvir.2022.827312" TargetMode="External" /><Relationship Type="http://schemas.openxmlformats.org/officeDocument/2006/relationships/hyperlink" Id="rId113" Target="https://doi.org/10.3390/nursrep14020107" TargetMode="External" /><Relationship Type="http://schemas.openxmlformats.org/officeDocument/2006/relationships/hyperlink" Id="rId115" Target="https://doi.org/10.4088/JCP.ot18043ah2" TargetMode="External" /><Relationship Type="http://schemas.openxmlformats.org/officeDocument/2006/relationships/hyperlink" Id="rId100" Target="https://doi.org/10.4103/ipj.ipj_377_24" TargetMode="External" /><Relationship Type="http://schemas.openxmlformats.org/officeDocument/2006/relationships/hyperlink" Id="rId142" Target="https://doi.org/10.48550/arXiv.2404.13066" TargetMode="External" /><Relationship Type="http://schemas.openxmlformats.org/officeDocument/2006/relationships/hyperlink" Id="rId165" Target="https://doi.org/10.5480/15-1640" TargetMode="External" /><Relationship Type="http://schemas.openxmlformats.org/officeDocument/2006/relationships/hyperlink" Id="rId146" Target="https://doi.org/10.5817/TF2016-7-90" TargetMode="External" /><Relationship Type="http://schemas.openxmlformats.org/officeDocument/2006/relationships/hyperlink" Id="rId150"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59" Target="https://doi.org/10.1002/nur.20199" TargetMode="External" /><Relationship Type="http://schemas.openxmlformats.org/officeDocument/2006/relationships/hyperlink" Id="rId155" Target="https://doi.org/10.1002/sim.6546" TargetMode="External" /><Relationship Type="http://schemas.openxmlformats.org/officeDocument/2006/relationships/hyperlink" Id="rId144" Target="https://doi.org/10.1002/wps.20771" TargetMode="External" /><Relationship Type="http://schemas.openxmlformats.org/officeDocument/2006/relationships/hyperlink" Id="rId125" Target="https://doi.org/10.1007/s10742-016-0145-9" TargetMode="External" /><Relationship Type="http://schemas.openxmlformats.org/officeDocument/2006/relationships/hyperlink" Id="rId175" Target="https://doi.org/10.1007/s11136-018-1829-0" TargetMode="External" /><Relationship Type="http://schemas.openxmlformats.org/officeDocument/2006/relationships/hyperlink" Id="rId127" Target="https://doi.org/10.1016/S0165-0327(14)70004-7" TargetMode="External" /><Relationship Type="http://schemas.openxmlformats.org/officeDocument/2006/relationships/hyperlink" Id="rId117" Target="https://doi.org/10.1016/j.ijchp.2014.12.001" TargetMode="External" /><Relationship Type="http://schemas.openxmlformats.org/officeDocument/2006/relationships/hyperlink" Id="rId148" Target="https://doi.org/10.1016/j.isci.2024.109713" TargetMode="External" /><Relationship Type="http://schemas.openxmlformats.org/officeDocument/2006/relationships/hyperlink" Id="rId102" Target="https://doi.org/10.1038/s41746-025-01670-7" TargetMode="External" /><Relationship Type="http://schemas.openxmlformats.org/officeDocument/2006/relationships/hyperlink" Id="rId184" Target="https://doi.org/10.1038/s43856-025-01283-x" TargetMode="External" /><Relationship Type="http://schemas.openxmlformats.org/officeDocument/2006/relationships/hyperlink" Id="rId157" Target="https://doi.org/10.1038/s44277-024-00010-z" TargetMode="External" /><Relationship Type="http://schemas.openxmlformats.org/officeDocument/2006/relationships/hyperlink" Id="rId123" Target="https://doi.org/10.1046/j.1365-2648.2000.t01-1-01567.x" TargetMode="External" /><Relationship Type="http://schemas.openxmlformats.org/officeDocument/2006/relationships/hyperlink" Id="rId138" Target="https://doi.org/10.1046/j.1525-1497.2001.016009606.x" TargetMode="External" /><Relationship Type="http://schemas.openxmlformats.org/officeDocument/2006/relationships/hyperlink" Id="rId153" Target="https://doi.org/10.1080/00050067.2025.2547800" TargetMode="External" /><Relationship Type="http://schemas.openxmlformats.org/officeDocument/2006/relationships/hyperlink" Id="rId167" Target="https://doi.org/10.1080/13284207.2021.1923125" TargetMode="External" /><Relationship Type="http://schemas.openxmlformats.org/officeDocument/2006/relationships/hyperlink" Id="rId106" Target="https://doi.org/10.1111/bjop.12577" TargetMode="External" /><Relationship Type="http://schemas.openxmlformats.org/officeDocument/2006/relationships/hyperlink" Id="rId121" Target="https://doi.org/10.1159/000317532" TargetMode="External" /><Relationship Type="http://schemas.openxmlformats.org/officeDocument/2006/relationships/hyperlink" Id="rId119" Target="https://doi.org/10.1177/14757257221093490" TargetMode="External" /><Relationship Type="http://schemas.openxmlformats.org/officeDocument/2006/relationships/hyperlink" Id="rId110" Target="https://doi.org/10.1186/s12909-024-06399-7" TargetMode="External" /><Relationship Type="http://schemas.openxmlformats.org/officeDocument/2006/relationships/hyperlink" Id="rId169" Target="https://doi.org/10.1186/s12909-025-07668-9" TargetMode="External" /><Relationship Type="http://schemas.openxmlformats.org/officeDocument/2006/relationships/hyperlink" Id="rId171" Target="https://doi.org/10.1186/s40814-019-0493-7" TargetMode="External" /><Relationship Type="http://schemas.openxmlformats.org/officeDocument/2006/relationships/hyperlink" Id="rId179" Target="https://doi.org/10.1186/s41077-016-0035-9" TargetMode="External" /><Relationship Type="http://schemas.openxmlformats.org/officeDocument/2006/relationships/hyperlink" Id="rId173" Target="https://doi.org/10.13060/23362391.2013.127.2.41" TargetMode="External" /><Relationship Type="http://schemas.openxmlformats.org/officeDocument/2006/relationships/hyperlink" Id="rId177" Target="https://doi.org/10.18653/v1/2024.emnlp-main.711" TargetMode="External" /><Relationship Type="http://schemas.openxmlformats.org/officeDocument/2006/relationships/hyperlink" Id="rId140" Target="https://doi.org/10.18653/v1/2025.findings-acl.118" TargetMode="External" /><Relationship Type="http://schemas.openxmlformats.org/officeDocument/2006/relationships/hyperlink" Id="rId134" Target="https://doi.org/10.18653/v1/2025.findings-acl.1332" TargetMode="External" /><Relationship Type="http://schemas.openxmlformats.org/officeDocument/2006/relationships/hyperlink" Id="rId136" Target="https://doi.org/10.2196/14676" TargetMode="External" /><Relationship Type="http://schemas.openxmlformats.org/officeDocument/2006/relationships/hyperlink" Id="rId163" Target="https://doi.org/10.2196/59823" TargetMode="External" /><Relationship Type="http://schemas.openxmlformats.org/officeDocument/2006/relationships/hyperlink" Id="rId132" Target="https://doi.org/10.31887/DCNS.2008.10.3/shkennedy" TargetMode="External" /><Relationship Type="http://schemas.openxmlformats.org/officeDocument/2006/relationships/hyperlink" Id="rId104" Target="https://doi.org/10.3389/feduc.2021.653269" TargetMode="External" /><Relationship Type="http://schemas.openxmlformats.org/officeDocument/2006/relationships/hyperlink" Id="rId161" Target="https://doi.org/10.3389/feduc.2022.840258" TargetMode="External" /><Relationship Type="http://schemas.openxmlformats.org/officeDocument/2006/relationships/hyperlink" Id="rId108" Target="https://doi.org/10.3389/fpubh.2018.00149" TargetMode="External" /><Relationship Type="http://schemas.openxmlformats.org/officeDocument/2006/relationships/hyperlink" Id="rId129" Target="https://doi.org/10.3389/frvir.2022.827312" TargetMode="External" /><Relationship Type="http://schemas.openxmlformats.org/officeDocument/2006/relationships/hyperlink" Id="rId113" Target="https://doi.org/10.3390/nursrep14020107" TargetMode="External" /><Relationship Type="http://schemas.openxmlformats.org/officeDocument/2006/relationships/hyperlink" Id="rId115" Target="https://doi.org/10.4088/JCP.ot18043ah2" TargetMode="External" /><Relationship Type="http://schemas.openxmlformats.org/officeDocument/2006/relationships/hyperlink" Id="rId100" Target="https://doi.org/10.4103/ipj.ipj_377_24" TargetMode="External" /><Relationship Type="http://schemas.openxmlformats.org/officeDocument/2006/relationships/hyperlink" Id="rId142" Target="https://doi.org/10.48550/arXiv.2404.13066" TargetMode="External" /><Relationship Type="http://schemas.openxmlformats.org/officeDocument/2006/relationships/hyperlink" Id="rId165" Target="https://doi.org/10.5480/15-1640" TargetMode="External" /><Relationship Type="http://schemas.openxmlformats.org/officeDocument/2006/relationships/hyperlink" Id="rId146" Target="https://doi.org/10.5817/TF2016-7-90" TargetMode="External" /><Relationship Type="http://schemas.openxmlformats.org/officeDocument/2006/relationships/hyperlink" Id="rId150"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2026-04-21T16:27:49Z</dcterms:created>
  <dcterms:modified xsi:type="dcterms:W3CDTF">2026-04-21T16:27:49Z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references/zotero-thesis.bib</vt:lpwstr>
  </property>
  <property fmtid="{D5CDD505-2E9C-101B-9397-08002B2CF9AE}" pid="3" name="csl">
    <vt:lpwstr>/Users/pavol.bielik/Zotero/styles/apa.csl</vt:lpwstr>
  </property>
  <property fmtid="{D5CDD505-2E9C-101B-9397-08002B2CF9AE}" pid="4" name="link-citations">
    <vt:lpwstr>True</vt:lpwstr>
  </property>
</Properties>
</file>