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3.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bolo navrhnúť a empiricky overiť simulačný rámec prepájajúci východiskové scenáre, riadenie generovania, tvorbu textových prepisov rozhovorov a ich odborné hodnotenie. Hlavný analyzovaný súbor tvorilo 199 hodnotení 72 prepisov rozhovorov odvodených z 12 východiskových scenárov, na ktorých sa podieľalo 6 hodnotiteľov; hlavnému zberu predchádzala samostatná expertná obsahová kontrola hodnotiaceho nástroja a scenárov. Analytická stratégia kombinovala deskriptívne ukazovatele, posúdenie vnútornej konzistencie, lineárne a ordinálne zmiešané modely a ukazovatele odchýlky voči kotvám východiskových scenárov na úrovni prepisu rozhovoru. 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Kľúčovým limitom zostala vrstva hodnotiteľov vrátane nevyplnených ICC odhadov a stlačených rozdelení viacerých ukazovateľov. Práca prispieva k metodike hodnotenia AI-generovaných simulačných materiálov a naznačuje, že takéto rozhovory môžu slúžiť ako pilotný doplnkový materiál pre psychologické vzdelávanie, tréning a ďalší metodologický výskum.</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2"/>
      </w:pPr>
      <w:r>
        <w:t xml:space="preserve">Draft abstract EN</w:t>
      </w:r>
    </w:p>
    <w:p>
      <w:pPr>
        <w:pStyle w:val="FirstParagraph"/>
      </w:pPr>
      <w:r>
        <w:t xml:space="preserve">This master’s thesis examines the quality of simulated clinical interviews featuring depressive symptomatology generated by a large language model. The aim of the thesis was to design and empirically evaluate a simulation framework linking anchored seed scenarios, generation control, transcript production, and expert rating. The main analytical corpus comprised 199 ratings of 72 interview transcripts derived from 12 seed scenarios and assessed by 6 raters; the main study was preceded by a separate expert content review of the rating framework and scenarios. The analytical strategy combined descriptive statistics, internal consistency estimates, linear and ordinal mixed models, and transcript-level indicators of deviation from scenario anchors. The results showed that the transcripts were, on average, rated as rather clinically credible, relatively natural in language, and rather suitable for training purposes, while defects remained in the lower range. At the same time, no clear and robust evidence emerged that structured clinical guidance or the response profile of the simulated patient systematically improved the main outcomes or anchor alignment. A key limitation remained the rater layer, including non-reportable ICC estimates and compressed distributions for several outcomes. The thesis contributes to the methodology of evaluating AI-generated simulation materials and suggests that such interviews may serve as a pilot supplementary resource for psychological education, training, and further methodological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5a15dc1c29b843b4dd55f7f290167f62ee2214f"/>
    <w:p>
      <w:pPr>
        <w:pStyle w:val="Heading3"/>
      </w:pPr>
      <w:r>
        <w:t xml:space="preserve">1.4 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31"/>
    <w:bookmarkEnd w:id="32"/>
    <w:bookmarkStart w:id="33" w:name="podnetový-materiál"/>
    <w:p>
      <w:pPr>
        <w:pStyle w:val="Heading3"/>
      </w:pPr>
      <w:r>
        <w:t xml:space="preserve">2.3 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6"/>
    <w:bookmarkStart w:id="37" w:name="Xe0e8ce9e119dade236076ae6a0f060d514e9bf7"/>
    <w:p>
      <w:pPr>
        <w:pStyle w:val="Heading4"/>
      </w:pPr>
      <w:r>
        <w:t xml:space="preserve">2.4.4 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6c1ca53a6b8b72df38f76fc712ab8bdd56ddfaa"/>
    <w:p>
      <w:pPr>
        <w:pStyle w:val="Heading4"/>
      </w:pPr>
      <w:r>
        <w:t xml:space="preserve">2.5.4 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2"/>
    <w:bookmarkStart w:id="43" w:name="X3928f5f7e921997959e19c2268acca1ef497c7e"/>
    <w:p>
      <w:pPr>
        <w:pStyle w:val="Heading4"/>
      </w:pPr>
      <w:r>
        <w:t xml:space="preserve">2.5.5 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podnetového-materiálu"/>
    <w:p>
      <w:pPr>
        <w:pStyle w:val="Heading4"/>
      </w:pPr>
      <w:r>
        <w:t xml:space="preserve">2.7.1 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4"/>
    <w:bookmarkEnd w:id="55"/>
    <w:bookmarkStart w:id="63" w:name="spracovanie-dát-a-štatistická-analýza"/>
    <w:p>
      <w:pPr>
        <w:pStyle w:val="Heading3"/>
      </w:pPr>
      <w:r>
        <w:t xml:space="preserve">2.8 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zhoda-medzi-hodnotiteľmi"/>
    <w:p>
      <w:pPr>
        <w:pStyle w:val="Heading4"/>
      </w:pPr>
      <w:r>
        <w:t xml:space="preserve">2.8.4 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koeficientu vnútrotriednej korelácie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92" w:name="výsledky"/>
    <w:p>
      <w:pPr>
        <w:pStyle w:val="Heading1"/>
      </w:pPr>
      <w:r>
        <w:t xml:space="preserve">3 Výsledky</w:t>
      </w:r>
    </w:p>
    <w:bookmarkStart w:id="73" w:name="X5b22d6c0c0243357f7bafd92202daae75e3b308"/>
    <w:p>
      <w:pPr>
        <w:pStyle w:val="Heading2"/>
      </w:pPr>
      <w:r>
        <w:t xml:space="preserve">3.1 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 6 expertov s mediánom odbornej praxe 9 rokov (rozsah 4 až 25 rokov). Panel vytvoril 72 hodnotení položiek nástroja a 72 hodnotení východiskových scenárov, doplnených o kvalitatívne komentáre k ich formulácii a použiteľnosti.</w:t>
      </w:r>
    </w:p>
    <w:p>
      <w:pPr>
        <w:pStyle w:val="BodyText"/>
      </w:pPr>
      <w:r>
        <w:t xml:space="preserve">Pri položkách hodnotiaceho nástroja sa celkové priemery pohybovali približne od 2,78 do 3,72 na štvorbodovej škále. Najsilnejšie boli podporené globálne položky G1, G2 a G4, ako aj položky S1 a S2, ktoré sa týkali odhadu závažnosti a funkčného dopadu. Slabšie dopadli najmä defektové položky R2, R3 a najmä R5, teda položky zamerané na klišé, kontextový nesúlad a neprimeranú dramatizáciu. Naprieč celým nástrojom dosiahli priemerné hodnotenia relevancie 3,36, zrozumiteľnosti 3,46 a potrebnosti 3,46. Tabuľka 1 uvádza položkové hodnotenia expertov a Obrázok 1 ich zobrazuje vo forme tepelnej mapy.</w:t>
      </w:r>
    </w:p>
    <w:p>
      <w:pPr>
        <w:pStyle w:val="BodyText"/>
      </w:pPr>
      <w:r>
        <w:t xml:space="preserve">Pri východiskových scenároch sa celkové priemery pohybovali približne od 2,93 do 3,21, teda v pásme skôr priaznivého, ale nie bezvýhradne vysokého expertného hodnotenia. Najslabšie boli hodnotené najmä kritériá dostatku informácií pre generovanie rozhovoru a nestereotypnosti. Kvalitatívne komentáre preto často smerovali k potrebe doplniť proximálne spúšťače, konkrétnejší funkčný dopad, sociálnu oporu alebo jemnejšie odlíšenie depresívnej symptomatiky od vyhorenia a všeobecného stresového preťaženia. Tabuľka 2 sumarizuje expertmi hodnotené parametre jednotlivých scenárov a Obrázok 2 ukazuje ich rozloženie vo forme tepelnej mapy.</w:t>
      </w:r>
    </w:p>
    <w:p>
      <w:pPr>
        <w:pStyle w:val="BodyText"/>
      </w:pPr>
      <w:r>
        <w:t xml:space="preserve">Osobitne užitočný bol doplnkový odhad cieľovej závažnosti scenárov. Relatívne dobrá zhoda sa ukázala najmä pri scenároch 01, 02, 04, 06 a 11, zatiaľ čo výraznejší nesúlad sa objavil pri scenároch 08 a 10, ktoré experti vnímali ako závažnejšie, než bolo pôvodne zamýšľané. Táto vrstva preto nepredstavuje finálnu psychometrickú validáciu ani formálny Delphi proces, ale prakticky dôležitý predbežný filter pred hlavným zberom dát.</w:t>
      </w:r>
    </w:p>
    <w:p>
      <w:pPr>
        <w:pStyle w:val="BodyText"/>
        <w:jc w:val="left"/>
        <w:ind w:left="542" w:right="542"/>
      </w:pPr>
      <w:r>
        <w:rPr>
          <w:b/>
          <w:bCs/>
        </w:rPr>
        <w:t xml:space="preserve">Tabuľka 1</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jc w:val="left"/>
        <w:ind w:left="313" w:right="313"/>
      </w:pPr>
      <w:r>
        <w:rPr>
          <w:b/>
          <w:bCs/>
        </w:rPr>
        <w:t xml:space="preserve">Obrázok 1</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1"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BodyText"/>
        <w:jc w:val="left"/>
        <w:ind w:left="542" w:right="542"/>
      </w:pPr>
      <w:r>
        <w:rPr>
          <w:b/>
          <w:bCs/>
        </w:rPr>
        <w:t xml:space="preserve">Tabuľka 2</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 scenára</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expertná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so záťažou pri starostlivosti o blízkeho</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jc w:val="left"/>
        <w:ind w:left="313" w:right="313"/>
      </w:pPr>
      <w:r>
        <w:rPr>
          <w:b/>
          <w:bCs/>
        </w:rPr>
        <w:t xml:space="preserve">Obrázok 2</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2"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bookmarkEnd w:id="73"/>
    <w:bookmarkStart w:id="74" w:name="X473c2dd45a87ced06575d94cc7a6868cce14a94"/>
    <w:p>
      <w:pPr>
        <w:pStyle w:val="Heading2"/>
      </w:pPr>
      <w:r>
        <w:t xml:space="preserve">3.2 Charakteristika analyzovaného súboru hodnotení</w:t>
      </w:r>
    </w:p>
    <w:p>
      <w:pPr>
        <w:pStyle w:val="FirstParagraph"/>
      </w:pPr>
      <w:r>
        <w:t xml:space="preserve">Analyzovaný súbor obsahoval spolu 199 expertných hodnotení, ktoré sa vzťahovali na 72 prepisov rozhovorov odvodených z 12 východiskových scenárov. Do hodnotenia sa zapojilo 6 hodnotiteľov a na jeden prepis rozhovoru pripadalo v priemere 2,76 hodnotenia, pričom minimálne pokrytie bolo 2 hodnotenia a maximálne 6 hodnotení. Základnú charakteristiku súboru sumarizuje Tabuľka 3.</w:t>
      </w:r>
    </w:p>
    <w:p>
      <w:pPr>
        <w:pStyle w:val="BodyText"/>
      </w:pPr>
      <w:r>
        <w:t xml:space="preserve">Na úrovni experimentálneho dizajnu bol zastúpený kompletný faktorový plán 2 × 3, teda všetky kombinácie prítomnosti štruktúrujúceho klinického usmernenia a štýlu odpovedania simulovaného pacienta. Pokrytie buniek však nebolo úplne vyvážené. V podmienke bez usmernenia bolo zaradených 118 hodnotení a v podmienke s usmernením 81 hodnotení. Najhustejšie zostala pokrytá bunka G0 × P1 s 46 hodnoteniami, nasledovali G0 × P2 a G0 × P3 s po 36 hodnoteniami, G1 × P1 s 32 hodnoteniami, G1 × P3 s 25 hodnoteniami a G1 × P2 s 24 hodnoteniami.</w:t>
      </w:r>
    </w:p>
    <w:p>
      <w:pPr>
        <w:pStyle w:val="BodyText"/>
      </w:pPr>
      <w:r>
        <w:t xml:space="preserve">Táto štruktúra už umožňuje inferenčné modelovanie, no pri interpretácii treba zohľadniť nerovnomerné rozloženie hodnotení medzi bunkami aj skutočnosť, že panel hodnotiteľov bol početne malý a zapájal sa nerovnomerne.</w:t>
      </w:r>
    </w:p>
    <w:p>
      <w:pPr>
        <w:pStyle w:val="BodyText"/>
        <w:jc w:val="left"/>
        <w:ind w:left="542" w:right="542"/>
      </w:pPr>
      <w:r>
        <w:rPr>
          <w:b/>
          <w:bCs/>
        </w:rPr>
        <w:t xml:space="preserve">Tabuľka 3</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Zdroj dát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Vyčistené dáta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Spôsob výpočtu chyby závažnosti</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Priama absolútna chyba na škále 1-5</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bez usmernenia (G0)</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s usmernením (G1)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 usmernením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w:t>
            </w:r>
          </w:p>
        </w:tc>
      </w:tr>
    </w:tbl>
    <w:p>
      <w:pPr>
        <w:pStyle w:val="BodyText"/>
        <w:jc w:val="left"/>
        <w:ind w:left="542" w:right="542"/>
        <w:spacing w:after="0" w:line="240" w:lineRule="auto"/>
      </w:pPr>
      <w:r>
        <w:rPr>
          <w:rFonts w:ascii="Times New Roman" w:hAnsi="Times New Roman" w:cs="Times New Roman"/>
          <w:sz w:val="18"/>
          <w:szCs w:val="18"/>
        </w:rPr>
        <w:t xml:space="preserve">Poznámka. Zdrojom je autoritatívny clean run nad aktuálnym datasetom.</w:t>
      </w:r>
    </w:p>
    <w:bookmarkEnd w:id="74"/>
    <w:bookmarkStart w:id="75" w:name="deskriptívne-charakteristiky-hodnotení"/>
    <w:p>
      <w:pPr>
        <w:pStyle w:val="Heading2"/>
      </w:pPr>
      <w:r>
        <w:t xml:space="preserve">3.3 Deskriptívne charakteristiky hodnotení</w:t>
      </w:r>
    </w:p>
    <w:p>
      <w:pPr>
        <w:pStyle w:val="FirstParagraph"/>
      </w:pPr>
      <w:r>
        <w:t xml:space="preserve">Tabuľka 4 sumarizuje základné deskriptívne charakteristiky na úrovni jednotlivých hodnotení aj na úrovni prepisov rozhovorov. Na úrovni hlavných kompozitov dosiahol kompozit klinickej vierohodnosti priemernú hodnotu 4,08 (SD = 0,47, Me = 4,00, rozsah 2,33 až 5,00). Kompozit defektov dosiahol priemer 1,89 (SD = 0,45, Me = 2,00, rozsah 1,00 až 3,60). Simulované rozhovory tak boli v priemere hodnotené ako skôr klinicky vierohodné, zatiaľ čo defekty zostávali skôr v nižšom pásme.</w:t>
      </w:r>
    </w:p>
    <w:p>
      <w:pPr>
        <w:pStyle w:val="BodyText"/>
      </w:pPr>
      <w:r>
        <w:t xml:space="preserve">Podobne vyzneli aj kľúčové jednotlivé položky. Prirodzenosť jazyka a štýlu odpovedí (G2) dosiahla priemer 3,92 (SD = 0,68) a použiteľnosť rozhovoru na tréningové alebo výučbové účely (G5) priemer 3,95 (SD = 0,84). Ľudský odhad celkovej závažnosti depresívnej symptomatiky (S1) mal priemer 2,93 (SD = 0,69) a ľudský odhad funkčného dopadu na bežné fungovanie (S2) priemer 2,95 (SD = 0,65). Pri viacerých týchto premenných ostal medián aj interkvartilové rozpätie stlačené do úzkeho pásma, čo naznačuje kompresiu škály smerom k stredne vyšším hodnotám.</w:t>
      </w:r>
    </w:p>
    <w:p>
      <w:pPr>
        <w:pStyle w:val="BodyText"/>
      </w:pPr>
      <w:r>
        <w:t xml:space="preserve">Tabuľka 5 zobrazuje frekvenčné rozdelenia jednotlivých položiek. Pri globálnych položkách G1 až G5 dominovala najmä odpoveď 4, pričom napríklad pri položke klinickej vierohodnosti tvorila táto kategória 71,9 % všetkých hodnotení a pri G2 76,4 %. Pri defektových položkách R1 až R5 prevládali najmä kategórie 1 a 2. Najvýraznejšie sa tento obraz ukázal pri položke R5, kde sa 46,7 % hodnotení sústredilo na hodnotu 1 a 51,3 % na hodnotu 2. Aj pri S1 a S2 sa väčšina odpovedí sústreďovala do jednej dominantnej kategórie, konkrétne na hodnotu 3.</w:t>
      </w:r>
    </w:p>
    <w:p>
      <w:pPr>
        <w:pStyle w:val="BodyText"/>
      </w:pPr>
      <w:r>
        <w:t xml:space="preserve">Na úrovni prepisov rozhovorov dosiahla priemerná absolútna chyba v symptomatických doménach A1 až A9 voči východiskovému scenáru hodnotu 0,53 (SD = 0,20, Me = 0,56, rozsah 0,11 až 0,89). Pri sekundárnych ukazovateľoch na úrovni prepisov rozhovorov bola priemerná absolútna chyba S1 voči východiskovému scenáru 0,43 a absolútna chyba S2 voči východiskovému scenáru 0,48. Tieto ukazovatele sú preto interpretované oddelene od položiek S1 a S2 na úrovni jednotlivých hodnotení.</w:t>
      </w:r>
    </w:p>
    <w:p>
      <w:pPr>
        <w:pStyle w:val="BodyText"/>
        <w:jc w:val="left"/>
        <w:ind w:left="542" w:right="542"/>
      </w:pPr>
      <w:r>
        <w:rPr>
          <w:b/>
          <w:bCs/>
        </w:rPr>
        <w:t xml:space="preserve">Tabuľka 4</w:t>
      </w:r>
      <w:r>
        <w:br/>
      </w:r>
      <w:r>
        <w:rPr>
          <w:i/>
          <w:iCs/>
        </w:rPr>
        <w:t xml:space="preserve">Deskriptívne ukazovatele položiek, symptómových domén a kompozitov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722"/>
        <w:gridCol w:w="722"/>
        <w:gridCol w:w="722"/>
        <w:gridCol w:w="722"/>
        <w:gridCol w:w="722"/>
        <w:gridCol w:w="722"/>
        <w:gridCol w:w="722"/>
        <w:gridCol w:w="722"/>
        <w:gridCol w:w="722"/>
        <w:gridCol w:w="722"/>
        <w:gridCol w:w="723"/>
      </w:tblGrid>
      <w:tr>
        <w:trPr>
          <w:tblHeader w:val="on"/>
        </w:trPr>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Úroveň analýzy</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kategórií</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w:t>
            </w:r>
          </w:p>
        </w:tc>
        <w:tc>
          <w:tcPr>
            <w:tcW w:w="72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Istota odhadu pôvodu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A1 Depresívna nálada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A2 Strata záujmu a anhedónia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A3 Poruchy spánku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A4 Zmeny apetítu a hmotnosti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A5 Psychomotorické spomalenie alebo nepokoj</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A6 Únava a nízka energia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A7 Pocity viny a bezcennosti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A8 Zhoršená koncentrácia a rozhodovanie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A9 Pasívne myšlienky na smrť</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72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0,89</w:t>
            </w:r>
          </w:p>
        </w:tc>
      </w:tr>
    </w:tbl>
    <w:p>
      <w:pPr>
        <w:pStyle w:val="BodyText"/>
        <w:jc w:val="left"/>
        <w:ind w:left="542" w:right="542"/>
      </w:pPr>
      <w:r>
        <w:rPr>
          <w:b/>
          <w:bCs/>
        </w:rPr>
        <w:t xml:space="preserve">Tabuľka 5</w:t>
      </w:r>
      <w:r>
        <w:br/>
      </w:r>
      <w:r>
        <w:rPr>
          <w:i/>
          <w:iCs/>
        </w:rPr>
        <w:t xml:space="preserve">Frekvenčné rozdelenie kľúčových položiek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Odpoveď</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71,9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46,7</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51,3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13,1</w:t>
            </w:r>
          </w:p>
        </w:tc>
      </w:tr>
      <w:tr>
        <w:tc>
          <w:tcPr>
            <w:tcW w:w="1986" w:type="dxa"/>
            <w:tcBorders>
              <w:top w:val="nil"/>
              <w:left w:val="nil"/>
              <w:bottom w:val="single" w:sz="10" w:space="0" w:color="000000"/>
              <w:right w:val="nil"/>
            </w:tcBorders>
          </w:tcPr>
          <w:p>
            <w:pPr>
              <w:pStyle w:val="Compact"/>
              <w:spacing w:after="0" w:line="240" w:lineRule="auto"/>
            </w:pP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w:t>
            </w:r>
          </w:p>
        </w:tc>
      </w:tr>
    </w:tbl>
    <w:p>
      <w:pPr>
        <w:pStyle w:val="BodyText"/>
        <w:jc w:val="left"/>
        <w:ind w:left="542" w:right="542"/>
        <w:spacing w:after="0" w:line="240" w:lineRule="auto"/>
      </w:pPr>
      <w:r>
        <w:rPr>
          <w:rFonts w:ascii="Times New Roman" w:hAnsi="Times New Roman" w:cs="Times New Roman"/>
          <w:sz w:val="18"/>
          <w:szCs w:val="18"/>
        </w:rPr>
        <w:t xml:space="preserve">Poznámka. Tabuľka sumarizuje rozdelenia pre G1 až G5, S1, S2 a R1 až R5.</w:t>
      </w:r>
    </w:p>
    <w:bookmarkEnd w:id="75"/>
    <w:bookmarkStart w:id="76" w:name="kvalita-merania-a-zhoda-hodnotiteľov"/>
    <w:p>
      <w:pPr>
        <w:pStyle w:val="Heading2"/>
      </w:pPr>
      <w:r>
        <w:t xml:space="preserve">3.4 Kvalita merania a zhoda hodnotiteľov</w:t>
      </w:r>
    </w:p>
    <w:p>
      <w:pPr>
        <w:pStyle w:val="FirstParagraph"/>
      </w:pPr>
      <w:r>
        <w:t xml:space="preserve">Tabuľka 6 sumarizuje vnútornú konzistenciu hlavných blokov položiek. Pre blok G1 až G5 dosiahlo Cronbachovo α hodnotu 0,84 a McDonaldovo ω hodnotu 0,85. Pri jadre kompozitu klinickej vierohodnosti tvoreného položkami G1, G3 a G4 boli odhady 0,77 a 0,78 a pri defektovom bloku R1 až R5 približne 0,74 a 0,76. Na úrovni vnútornej konzistencie teda nástroj na tomto datasete pôsobí prijateľne až dobre.</w:t>
      </w:r>
    </w:p>
    <w:p>
      <w:pPr>
        <w:pStyle w:val="BodyText"/>
      </w:pPr>
      <w:r>
        <w:t xml:space="preserve">Výrazne opatrnejší obraz však prináša interrater vrstva. Tabuľka 7 ukazuje, že odhady ICC(2,k) pre kompozit klinickej vierohodnosti, kompozit defektov aj pre ľudské odhady závažnosti a funkčného dopadu zostali v aktuálnom spracovaní numericky nevyplnené. Aj keď sa na zbere podieľalo viac než jeden hodnotiteľ, panel bol početne malý a pokrytie medzi hodnotiteľmi nebolo dostatočne rovnomerné na stabilný report interrater zhody. Tento blok preto funguje skôr ako transparentné priznanie meracieho limitu než ako samostatný nosný argument kvality merania.</w:t>
      </w:r>
    </w:p>
    <w:p>
      <w:pPr>
        <w:pStyle w:val="BodyText"/>
        <w:jc w:val="left"/>
        <w:ind w:left="542" w:right="542"/>
      </w:pPr>
      <w:r>
        <w:rPr>
          <w:b/>
          <w:bCs/>
        </w:rPr>
        <w:t xml:space="preserve">Tabuľka 6</w:t>
      </w:r>
      <w:r>
        <w:br/>
      </w:r>
      <w:r>
        <w:rPr>
          <w:i/>
          <w:iCs/>
        </w:rPr>
        <w:t xml:space="preserve">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α</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ω</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Blok G1-G5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indexu klinickej vierohodnosti</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Blok R1-R5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0,76</w:t>
            </w:r>
          </w:p>
        </w:tc>
      </w:tr>
    </w:tbl>
    <w:p>
      <w:pPr>
        <w:pStyle w:val="BodyText"/>
        <w:jc w:val="left"/>
        <w:ind w:left="542" w:right="542"/>
      </w:pPr>
      <w:r>
        <w:rPr>
          <w:b/>
          <w:bCs/>
        </w:rPr>
        <w:t xml:space="preserve">Tabuľka 7</w:t>
      </w:r>
      <w:r>
        <w:br/>
      </w:r>
      <w:r>
        <w:rPr>
          <w:i/>
          <w:iCs/>
        </w:rPr>
        <w:t xml:space="preserve">Zhoda medzi hodnotiteľmi pri hlavných výstupných ukazovateľoch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Typ ICC</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ICC</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r>
    </w:tbl>
    <w:p>
      <w:pPr>
        <w:pStyle w:val="BodyText"/>
        <w:jc w:val="left"/>
        <w:ind w:left="542" w:right="542"/>
        <w:spacing w:after="0" w:line="240" w:lineRule="auto"/>
      </w:pPr>
      <w:r>
        <w:rPr>
          <w:rFonts w:ascii="Times New Roman" w:hAnsi="Times New Roman" w:cs="Times New Roman"/>
          <w:sz w:val="18"/>
          <w:szCs w:val="18"/>
        </w:rPr>
        <w:t xml:space="preserve">Poznámka. ICC = intratriedny korelačný koeficient; IS = interval spoľahlivosti. Pri aktuálnom pokrytí medzi hodnotiteľmi sa odhady numericky nevypočítali.</w:t>
      </w:r>
    </w:p>
    <w:bookmarkEnd w:id="76"/>
    <w:bookmarkStart w:id="87" w:name="Xa49e5c0fd815f8f1ed176d62dcf2d7116bb511a"/>
    <w:p>
      <w:pPr>
        <w:pStyle w:val="Heading2"/>
      </w:pPr>
      <w:r>
        <w:t xml:space="preserve">3.5 Hlavné inferenčné bloky podľa výskumných otázok a hypotéz</w:t>
      </w:r>
    </w:p>
    <w:bookmarkStart w:id="77" w:name="X694de517ca269c19ad8a8d28ec3c2de05f68dd6"/>
    <w:p>
      <w:pPr>
        <w:pStyle w:val="Heading3"/>
      </w:pPr>
      <w:r>
        <w:t xml:space="preserve">3.5.1 Globálna kvalita rozhovoru a efekt štruktúrujúceho klinického usmernenia</w:t>
      </w:r>
    </w:p>
    <w:p>
      <w:pPr>
        <w:pStyle w:val="FirstParagraph"/>
      </w:pPr>
      <w:r>
        <w:t xml:space="preserve">Tabuľka 8 zhŕňa hlavné modelové odhady pre ukazovatele na úrovni jednotlivých hodnotení aj prepisov rozhovorov. Pri kompozite klinickej vierohodnosti sa v lineárnom zmiešanom modeli neobjavil výrazný hlavný efekt štruktúrujúceho klinického usmernenia (b = 0,03, SE = 0,09, 95 % IS od -0,15 do 0,21). Rovnakým smerom vyznel aj deskriptívny obraz v Obrázku 3 a odhadované marginálne priemery v Obrázku 4, kde sa intervaly spoľahlivosti medzi podmienkami výrazne prekrývali.</w:t>
      </w:r>
    </w:p>
    <w:p>
      <w:pPr>
        <w:pStyle w:val="BodyText"/>
      </w:pPr>
      <w:r>
        <w:t xml:space="preserve">Ani pri ďalších globálnych ukazovateľoch sa neobjavil presvedčivý efekt podporujúci H1, H2, H3 alebo H5. Pri položke prirodzenosti jazyka (G2) bol koeficient usmernenia v ordinálnom zmiešanom modeli malý a prakticky nulový (b = -0,06, p = ,927). Pri položke použiteľnosti na tréningové alebo výučbové účely (G5) bol smer odhadu síce pozitívny (b = 0,31), ale bez presvedčivého signálu (p = ,581). Pri kompozite defektov bol efekt usmernenia smerovo priaznivý, teda v smere nižšej chybovosti pri zapnutom usmernení (b = -0,13, SE = 0,09), no jeho veľkosť ostala malá a interval spoľahlivosti zahrnul nulu.</w:t>
      </w:r>
    </w:p>
    <w:p>
      <w:pPr>
        <w:pStyle w:val="BodyText"/>
      </w:pPr>
      <w:r>
        <w:t xml:space="preserve">V jadre ukazovateľov na úrovni jednotlivých hodnotení tak výsledky neukázali systematický dôkaz, že by prítomnosť štruktúrujúceho klinického usmernenia sama osebe zvyšovala globálnu kvalitu rozhovoru alebo znižovala výskyt defektov.</w:t>
      </w:r>
    </w:p>
    <w:bookmarkEnd w:id="77"/>
    <w:bookmarkStart w:id="78" w:name="X10129ca73e2bc8eef9224fe3a1aeb646d2042e8"/>
    <w:p>
      <w:pPr>
        <w:pStyle w:val="Heading3"/>
      </w:pPr>
      <w:r>
        <w:t xml:space="preserve">3.5.2 Symptómová zhoda s východiskovými scenármi a ukazovatele odchýlky na úrovni prepisov rozhovorov</w:t>
      </w:r>
    </w:p>
    <w:p>
      <w:pPr>
        <w:pStyle w:val="FirstParagraph"/>
      </w:pPr>
      <w:r>
        <w:t xml:space="preserve">Vetva na úrovni prepisov rozhovorov odpovedá na otázku, nakoľko sa výsledné prepisy rozhovorov približovali referenčným hodnotám východiskových scenárov. Tabuľka 4 ukazuje, že priemerná absolútna chyba v symptomatických doménach A1 až A9 voči východiskovému scenáru dosiahla 0,53, priemerná absolútna chyba S1 voči východiskovému scenáru 0,43 a priemerná absolútna chyba S2 voči východiskovému scenáru 0,48.</w:t>
      </w:r>
    </w:p>
    <w:p>
      <w:pPr>
        <w:pStyle w:val="BodyText"/>
      </w:pPr>
      <w:r>
        <w:t xml:space="preserve">Aj v tejto vrstve ostali rozdiely medzi podmienkami malé. V lineárnom zmiešanom modeli pre priemernú absolútnu chybu v symptomatických doménach bol efekt usmernenia b = -0,02 (SE = 0,04, 95 % IS od -0,11 do 0,07). Podobne malý smer sa ukázal aj pri sekundárnych ukazovateľoch, kde bol efekt usmernenia pre absolútnu chybu S1 b = -0,13 (SE = 0,11) a pre absolútnu chybu S2 b = -0,06 (SE = 0,10). V tejto vetve odchýlok na úrovni prepisov rozhovorov sa teda H4 jednoznačne nepotvrdila.</w:t>
      </w:r>
    </w:p>
    <w:p>
      <w:pPr>
        <w:pStyle w:val="BodyText"/>
      </w:pPr>
      <w:r>
        <w:t xml:space="preserve">Z odhadovaných marginálnych priemerov zároveň vyplýva, že najnižšia priemerná symptomatická odchýlka sa objavila v bunke G1 × P3 a najvyššia v bunke G0 × P3, ale rozdiel medzi týmito bunkami ostal relatívne malý. Obrázok 4 preto skôr ukazuje prekryv než ostro oddelené profily podmienok.</w:t>
      </w:r>
    </w:p>
    <w:bookmarkEnd w:id="78"/>
    <w:bookmarkStart w:id="79" w:name="Xb3d0afddbc8d0d8ef075ce4d7e23b294b9ac655"/>
    <w:p>
      <w:pPr>
        <w:pStyle w:val="Heading3"/>
      </w:pPr>
      <w:r>
        <w:t xml:space="preserve">3.5.3 Efekt štýlu odpovedania simulovaného pacienta</w:t>
      </w:r>
    </w:p>
    <w:p>
      <w:pPr>
        <w:pStyle w:val="FirstParagraph"/>
      </w:pPr>
      <w:r>
        <w:t xml:space="preserve">Ani pri profile odpovedania sa neobjavil silný a konzistentný rozdiel podporujúci H6, H7 alebo H8. Pri kompozite klinickej vierohodnosti ostali koeficienty pre P2 aj P3 prakticky nulové (P2: b = -0,02; P3: b = -0,01). Podobne vyzneli aj odhady pri kompozite defektov (P2: b = -0,05; P3: b = -0,01) a pri symptómovej chybe na úrovni prepisu rozhovoru, kde P2 smerovalo mierne nižšie a P3 mierne vyššie než P1, no bez presvedčivého efektu.</w:t>
      </w:r>
    </w:p>
    <w:p>
      <w:pPr>
        <w:pStyle w:val="BodyText"/>
      </w:pPr>
      <w:r>
        <w:t xml:space="preserve">Pri položkách G2 a G5 sa síce objavili drobné rozdiely v smeroch koeficientov, no bez konzistentného modelového obrazu. Pri G2 smerovalo P2 mierne vyššie než P1 (b = 0,47, p = ,434), zatiaľ čo P3 sa od P1 prakticky nelíšilo. Pri G5 bol efekt P2 smerovo negatívny (b = -0,47, p = ,389) a efekt P3 opäť zanedbateľný.</w:t>
      </w:r>
    </w:p>
    <w:p>
      <w:pPr>
        <w:pStyle w:val="BodyText"/>
      </w:pPr>
      <w:r>
        <w:t xml:space="preserve">Sekundárne ordinálne modely pre ľudské odhady S1 a S2 ukázali niekoľko doplnkových signálov, ktoré však nepredstavujú jadro testovaných hypotéz. Pri S2 sa objavili nižšie odhadované kategórie funkčného dopadu pri P2 a P3 oproti P1 (P2: p = ,050; P3: p = ,042), no tento obraz sa nepreklopil do vetvy chýb voči východiskovým scenárom na úrovni prepisov rozhovorov. Výsledky preto nepodporujú záver, že by rozvinutejší profil odpovedania systematicky zlepšoval globálnu kvalitu rozhovoru alebo jeho zhodu s východiskovým profilom scenára.</w:t>
      </w:r>
    </w:p>
    <w:bookmarkEnd w:id="79"/>
    <w:bookmarkStart w:id="86" w:name="interakcia-medzi-usmernením-a-profilom"/>
    <w:p>
      <w:pPr>
        <w:pStyle w:val="Heading3"/>
      </w:pPr>
      <w:r>
        <w:t xml:space="preserve">3.5.4 Interakcia medzi usmernením a profilom</w:t>
      </w:r>
    </w:p>
    <w:p>
      <w:pPr>
        <w:pStyle w:val="FirstParagraph"/>
      </w:pPr>
      <w:r>
        <w:t xml:space="preserve">Na úrovni jadrových ukazovateľov sa neobjavil silný interakčný efekt podporujúci H9. Interakčné členy pre kompozit klinickej vierohodnosti aj kompozit defektov ostali malé a ich intervaly spoľahlivosti široko prekryli nulu. Rovnaký obraz sa ukázal aj pri symptómovej chybe na úrovni prepisu rozhovoru, kde síce interakčné koeficienty pre G1 × P2 a G1 × P3 smerovali opačne, no ostali nesignifikantné (v oboch prípadoch p = ,111).</w:t>
      </w:r>
    </w:p>
    <w:p>
      <w:pPr>
        <w:pStyle w:val="BodyText"/>
      </w:pPr>
      <w:r>
        <w:t xml:space="preserve">Najvýraznejší interakčný náznak sa objavil v sekundárnych ordinálnych modeloch pre ľudské odhady S1 a S2. Pri S1 vyšiel člen G1 × P3 pozitívne a štatisticky významne (p = ,024) a pri S2 sa podobný signál objavil tiež pri G1 × P3 (p = ,034). Keďže ide o sekundárne ukazovatele na úrovni jednotlivých hodnotení a nie o jadro fidelity vetvy na úrovni prepisov rozhovorov, tieto výsledky interpretujem opatrne ako doplnkový signál, nie ako nosný dôkaz interakcie medzi oboma experimentálnymi faktormi.</w:t>
      </w:r>
    </w:p>
    <w:p>
      <w:pPr>
        <w:pStyle w:val="BodyText"/>
      </w:pPr>
      <w:r>
        <w:t xml:space="preserve">Ako doplnková kontrola stability bol pre kompozity na úrovni jednotlivých hodnotení odhadnutý aj kontrolný model s interceptom pre konkrétny prepis rozhovoru. Tabuľka 9 ukazuje, že pri kompozite klinickej vierohodnosti aj kompozite defektov zostal smer hlavných aj interakčných efektov prakticky nezmenený. Táto vetva však mala singularitu, a preto slúži len ako doplnková kontrola stability hlavného modelového obrazu.</w:t>
      </w:r>
    </w:p>
    <w:p>
      <w:pPr>
        <w:pStyle w:val="BodyText"/>
        <w:jc w:val="left"/>
        <w:ind w:left="542" w:right="542"/>
      </w:pPr>
      <w:r>
        <w:rPr>
          <w:b/>
          <w:bCs/>
        </w:rPr>
        <w:t xml:space="preserve">Tabuľka 8</w:t>
      </w:r>
      <w:r>
        <w:br/>
      </w:r>
      <w:r>
        <w:rPr>
          <w:i/>
          <w:iCs/>
        </w:rPr>
        <w:t xml:space="preserve">Súhrn jadrových zmiešaných modelov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 / z</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 0,65]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 0,07]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 0,23]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0,02]</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 0,73]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0,03]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,692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 0,25]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 0,54]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,538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[-0,27;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 1,14]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 1,65]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,953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 1,13]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[-2,73; 0,85]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 2,23]</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 1,43]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[-1,53; 0,60]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[-1,12; 1,07]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 1,76]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[-1,28; 1,97]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[-1,29; 0,95]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,490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[-1,48; 0,71]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[-1,44;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 2,81]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 3,50]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[-1,54; 0,87]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 -0,00]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[-2,55; -0,05]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[-1,27; 2,48]</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2,12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[0,14; 3,79]</w:t>
            </w:r>
          </w:p>
        </w:tc>
      </w:tr>
    </w:tbl>
    <w:p>
      <w:pPr>
        <w:pStyle w:val="BodyText"/>
        <w:jc w:val="left"/>
        <w:ind w:left="542" w:right="542"/>
        <w:spacing w:after="0" w:line="240" w:lineRule="auto"/>
      </w:pPr>
      <w:r>
        <w:rPr>
          <w:rFonts w:ascii="Times New Roman" w:hAnsi="Times New Roman" w:cs="Times New Roman"/>
          <w:sz w:val="18"/>
          <w:szCs w:val="18"/>
        </w:rPr>
        <w:t xml:space="preserve">Poznámka. b = regresný koeficient; SE = štandardná chyba; IS = interval spoľahlivosti; LMM = lineárny zmiešaný model; CLMM = kumulatívny logistický zmiešaný model. Referenčnou kombináciou pri intercepte bola podmienka bez klinického usmernenia a profil P1.</w:t>
      </w:r>
    </w:p>
    <w:p>
      <w:pPr>
        <w:pStyle w:val="BodyText"/>
        <w:jc w:val="left"/>
        <w:ind w:left="313" w:right="313"/>
      </w:pPr>
      <w:r>
        <w:rPr>
          <w:b/>
          <w:bCs/>
        </w:rPr>
        <w:t xml:space="preserve">Obrázok 3</w:t>
      </w:r>
      <w:r>
        <w:br/>
      </w:r>
      <w:r>
        <w:rPr>
          <w:i/>
          <w:iCs/>
        </w:rPr>
        <w:t xml:space="preserve">Primárne výstupné ukazovatele podľa experimentálnych podmienok</w:t>
      </w:r>
    </w:p>
    <w:p>
      <w:pPr>
        <w:pStyle w:val="CaptionedFigure"/>
      </w:pPr>
      <w:r>
        <w:drawing>
          <ns1:inline>
            <ns1:extent cx="5334000" cy="3200400"/>
            <ns1:effectExtent b="0" l="0" r="0" t="0"/>
            <ns1:docPr descr="Obrázok 3" title="" id="81" name="Picture"/>
            <ns2:graphic>
              <ns2:graphicData uri="http://schemas.openxmlformats.org/drawingml/2006/picture">
                <ns3:pic>
                  <ns3:nvPicPr>
                    <ns3:cNvPr descr="/Users/pavol.bielik/dev/src/github.com/pbielik/diplomovka/figures/figure_1_primary_outcomes_by_condition.png" id="82" name="Picture"/>
                    <ns3:cNvPicPr>
                      <ns2:picLocks noChangeArrowheads="1" noChangeAspect="1"/>
                    </ns3:cNvPicPr>
                  </ns3:nvPicPr>
                  <ns3:blipFill>
                    <ns2:blip ns4:embed="rId80"/>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BodyText"/>
        <w:jc w:val="left"/>
        <w:ind w:left="313" w:right="313"/>
      </w:pPr>
      <w:r>
        <w:rPr>
          <w:b/>
          <w:bCs/>
        </w:rPr>
        <w:t xml:space="preserve">Obrázok 4</w:t>
      </w:r>
      <w:r>
        <w:br/>
      </w:r>
      <w:r>
        <w:rPr>
          <w:i/>
          <w:iCs/>
        </w:rPr>
        <w:t xml:space="preserve">Odhadované marginálne priemery jadrových modelov</w:t>
      </w:r>
    </w:p>
    <w:p>
      <w:pPr>
        <w:pStyle w:val="CaptionedFigure"/>
      </w:pPr>
      <w:r>
        <w:drawing>
          <ns1:inline>
            <ns1:extent cx="5334000" cy="3200400"/>
            <ns1:effectExtent b="0" l="0" r="0" t="0"/>
            <ns1:docPr descr="Obrázok 4" title="" id="84" name="Picture"/>
            <ns2:graphic>
              <ns2:graphicData uri="http://schemas.openxmlformats.org/drawingml/2006/picture">
                <ns3:pic>
                  <ns3:nvPicPr>
                    <ns3:cNvPr descr="/Users/pavol.bielik/dev/src/github.com/pbielik/diplomovka/figures/figure_2_emmeans_core_models.png" id="85" name="Picture"/>
                    <ns3:cNvPicPr>
                      <ns2:picLocks noChangeArrowheads="1" noChangeAspect="1"/>
                    </ns3:cNvPicPr>
                  </ns3:nvPicPr>
                  <ns3:blipFill>
                    <ns2:blip ns4:embed="rId83"/>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BodyText"/>
        <w:jc w:val="left"/>
        <w:ind w:left="542" w:right="542"/>
      </w:pPr>
      <w:r>
        <w:rPr>
          <w:b/>
          <w:bCs/>
        </w:rPr>
        <w:t xml:space="preserve">Tabuľka 9</w:t>
      </w:r>
      <w:r>
        <w:br/>
      </w:r>
      <w:r>
        <w:rPr>
          <w:i/>
          <w:iCs/>
        </w:rPr>
        <w:t xml:space="preserve">Kontrolné lineárne zmiešané modely s interceptom pre prepis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[-0,23; 0,28]</w:t>
            </w:r>
          </w:p>
        </w:tc>
      </w:tr>
    </w:tbl>
    <w:p>
      <w:pPr>
        <w:pStyle w:val="BodyText"/>
        <w:jc w:val="left"/>
        <w:ind w:left="542" w:right="542"/>
        <w:spacing w:after="0" w:line="240" w:lineRule="auto"/>
      </w:pPr>
      <w:r>
        <w:rPr>
          <w:rFonts w:ascii="Times New Roman" w:hAnsi="Times New Roman" w:cs="Times New Roman"/>
          <w:sz w:val="18"/>
          <w:szCs w:val="18"/>
        </w:rPr>
        <w:t xml:space="preserve">Poznámka. b = regresný koeficient; SE = štandardná chyba; IS = interval spoľahlivosti. Kontrolný model obsahuje intercept pre prepis rozhovoru a vykázal singularitu, preto sa interpretuje len doplnkovo.</w:t>
      </w:r>
    </w:p>
    <w:bookmarkEnd w:id="86"/>
    <w:bookmarkEnd w:id="87"/>
    <w:bookmarkStart w:id="90" w:name="exploratorné-výstupy"/>
    <w:p>
      <w:pPr>
        <w:pStyle w:val="Heading2"/>
      </w:pPr>
      <w:r>
        <w:t xml:space="preserve">3.6 Exploratorné výstupy</w:t>
      </w:r>
    </w:p>
    <w:bookmarkStart w:id="88" w:name="vnímaný-pôvod-rozhovoru"/>
    <w:p>
      <w:pPr>
        <w:pStyle w:val="Heading3"/>
      </w:pPr>
      <w:r>
        <w:t xml:space="preserve">3.6.1 Vnímaný pôvod rozhovoru</w:t>
      </w:r>
    </w:p>
    <w:p>
      <w:pPr>
        <w:pStyle w:val="FirstParagraph"/>
      </w:pPr>
      <w:r>
        <w:t xml:space="preserve">Položka odhadovaného pôvodu rozhovoru bola vyplnená len pri menšej časti hodnotení. Z celkového súboru 199 hodnotení zostalo 141 odpovedí nevyplnených; medzi vyplnenými odpoveďami sa najčastejšie objavovalo označenie „ľudsky simulovaný rozhovor“ (31 hodnotení), nasledované kategóriou „AI-generovaný rozhovor“ (21 hodnotení), zatiaľ čo kategória „reálny participant“ sa objavila len 6-krát. Istota tohto odhadu bola navyše skôr nízka až stredná (M = 2,57; medián = 2). Tento blok preto ostáva čisto exploratórny.</w:t>
      </w:r>
    </w:p>
    <w:bookmarkEnd w:id="88"/>
    <w:bookmarkStart w:id="89" w:name="otvorené-komentáre"/>
    <w:p>
      <w:pPr>
        <w:pStyle w:val="Heading3"/>
      </w:pPr>
      <w:r>
        <w:t xml:space="preserve">3.6.2 Otvorené komentáre</w:t>
      </w:r>
    </w:p>
    <w:p>
      <w:pPr>
        <w:pStyle w:val="FirstParagraph"/>
      </w:pPr>
      <w:r>
        <w:t xml:space="preserve">Otvorené komentáre dopĺňali kvantitatívny obraz konkrétnejším opisom slabších miest rozhovorov. Najčastejšie sa opakoval motív nacvičenosti, šablónovitosti alebo príliš disciplinovaného priebehu odpovedí. Menej často sa objavovali lokálne jazykové neprirodzenosti, rodová nekonzistentnosť, potreba jemnejších doplňujúcich otázok a pripomienky, že časť rozhovorov sa miestami posúvala smerom k úzkostnej symptomatike, vyhoreniu alebo inému klinickému obrazu. Kvalitatívna vrstva tak skôr než masívny klinický rozpad ukazuje jemnejší problém štýlu a organickosti simulácie.</w:t>
      </w:r>
    </w:p>
    <w:bookmarkEnd w:id="89"/>
    <w:bookmarkEnd w:id="90"/>
    <w:bookmarkStart w:id="91" w:name="stručné-zhrnutie-výsledkov"/>
    <w:p>
      <w:pPr>
        <w:pStyle w:val="Heading2"/>
      </w:pPr>
      <w:r>
        <w:t xml:space="preserve">3.7 Stručné zhrnutie výsledkov</w:t>
      </w:r>
    </w:p>
    <w:p>
      <w:pPr>
        <w:pStyle w:val="FirstParagraph"/>
      </w:pPr>
      <w:r>
        <w:t xml:space="preserve">Predbežná expertná obsahová kontrola ukázala, že jadro hodnotiaceho nástroja aj východiskových scenárov je použiteľné, no zároveň upozornila na slabšie formulované defektové položky a na potrebu doladiť časť scenárov, najmä tam, kde experti vnímali závažnosť vyššie, než bolo pôvodne zamýšľané.</w:t>
      </w:r>
    </w:p>
    <w:p>
      <w:pPr>
        <w:pStyle w:val="BodyText"/>
      </w:pPr>
      <w:r>
        <w:t xml:space="preserve">Analyzovaný súbor 199 hodnotení ukázal, že simulované rozhovory boli v priemere hodnotené ako skôr klinicky vierohodné, jazykovo relatívne prirodzené a skôr dobre použiteľné na tréningové alebo výučbové účely, pričom defekty zostávali skôr v nižšom pásme. Na úrovni vnútornej konzistencie pôsobil nástroj prijateľne až dobre, no vrstva zhody medzi hodnotiteľmi ostala limitovaná, keďže ICC odhady pre jadrové ukazovatele neboli v aktuálnom spracovaní numericky reportovateľné.</w:t>
      </w:r>
    </w:p>
    <w:p>
      <w:pPr>
        <w:pStyle w:val="BodyText"/>
      </w:pPr>
      <w:r>
        <w:t xml:space="preserve">Na úrovni hlavných konfirmačných hypotéz sa neobjavil jasný a konzistentný dôkaz, že by štruktúrujúce klinické usmernenie alebo rozvinutejší profil odpovedania systematicky zvyšovali klinickú vierohodnosť, prirodzenosť, tréningovú použiteľnosť alebo znižovali odchýlku voči referenčným profilom východiskových scenárov na úrovni prepisov rozhovorov. Objavili sa len doplnkové signály v sekundárnych ordinálnych modeloch pre ľudské odhady závažnosti a funkčného dopadu, ktoré však samy osebe netvoria jadro testovaných hypotéz. Exploratorná vrstva napokon naznačila, že hlavná slabina simulácií nespočívala v masívnej chybovosti, ale skôr v dojme nacvičenosti, šablónovitosti a miestami zníženej organickosti rozhovoru.</w:t>
      </w:r>
    </w:p>
    <w:bookmarkEnd w:id="91"/>
    <w:bookmarkEnd w:id="92"/>
    <w:bookmarkStart w:id="103" w:name="diskusia"/>
    <w:p>
      <w:pPr>
        <w:pStyle w:val="Heading1"/>
      </w:pPr>
      <w:r>
        <w:t xml:space="preserve">50 Diskusia</w:t>
      </w:r>
    </w:p>
    <w:bookmarkStart w:id="102" w:name="diskusia-1"/>
    <w:p>
      <w:pPr>
        <w:pStyle w:val="Heading2"/>
      </w:pPr>
      <w:r>
        <w:t xml:space="preserve">4 Diskusia</w:t>
      </w:r>
    </w:p>
    <w:bookmarkStart w:id="93" w:name="stručné-zhrnutie-hlavných-zistení"/>
    <w:p>
      <w:pPr>
        <w:pStyle w:val="Heading3"/>
      </w:pPr>
      <w:r>
        <w:t xml:space="preserve">4.1 Stručné zhrnutie hlavných zistení</w:t>
      </w:r>
    </w:p>
    <w:p>
      <w:pPr>
        <w:pStyle w:val="FirstParagraph"/>
      </w:pPr>
      <w:r>
        <w:t xml:space="preserve">Cieľom práce bolo metodologicky overiť kvalitu AI-generovaných simulovaných klinických rozhovorov s depresívnou symptomatikou a preskúmať, či sa ich kvalita mení podľa prítomnosti štruktúrujúceho klinického usmernenia a podľa profilu odpovedania simulovaného pacienta. Aktuálny analyzovaný súbor priniesol šesť hlavných zistení.</w:t>
      </w:r>
    </w:p>
    <w:p>
      <w:pPr>
        <w:pStyle w:val="BodyText"/>
      </w:pPr>
      <w:r>
        <w:t xml:space="preserve">Po prvé, predbežná expertná obsahová kontrola ukázala, že jadro autorského hodnotiaceho nástroja aj východiskové scenáre sú obsahovo použiteľné, ale zároveň upozornila na slabšie miesta v časti defektových položiek a pri niektorých scenároch. Po druhé, samotné prepisy rozhovorov boli v priemere hodnotené ako skôr klinicky vierohodné, jazykovo relatívne prirodzené a skôr použiteľné na tréningové účely, pričom defekty zostávali skôr v nižšom pásme. Po tretie, viaceré rozdelenia hodnotení boli stlačené do úzkeho stredne vyššieho pásma, takže veľká časť dát sa nepohybovala na osi „dobré verzus zlé“, ale skôr na osi „celkom dobré verzus o niečo lepšie alebo slabšie“. Po štvrté, v aktuálnych dátach sa neobjavil jasný a robustný dôkaz, že by samotné zapnutie štruktúrujúceho klinického usmernenia alebo rozvinutejší profil odpovedania systematicky zlepšovali hlavné výsledkové ukazovatele. Po piate, dominantnou slabinou simulácií nebol hrubý klinický rozpad, ale skôr mechanickosť, miestami nacvičenosť a slabšie doplňujúce otázky. Po šieste, kľúčovým limitom dátového súboru zostáva vrstva hodnotiteľov, keďže panel bol malý a zapájal sa nerovnomerne.</w:t>
      </w:r>
    </w:p>
    <w:p>
      <w:pPr>
        <w:pStyle w:val="BodyText"/>
      </w:pPr>
      <w:r>
        <w:t xml:space="preserve">V súhrne teda výsledky podporujú skôr opatrný záver, že generovaný materiál už dosahuje úroveň použiteľného pilotného simulačného materiálu, no zatiaľ neukazuje presvedčivý dôkaz, že by ho bolo možné jednoducho a stabilne optimalizovať jednou generatívnou manipuláciou.</w:t>
      </w:r>
    </w:p>
    <w:bookmarkEnd w:id="93"/>
    <w:bookmarkStart w:id="94" w:name="interpretácia-hlavných-zistení"/>
    <w:p>
      <w:pPr>
        <w:pStyle w:val="Heading3"/>
      </w:pPr>
      <w:r>
        <w:t xml:space="preserve">4.2 Interpretácia hlavných zistení</w:t>
      </w:r>
    </w:p>
    <w:p>
      <w:pPr>
        <w:pStyle w:val="FirstParagraph"/>
      </w:pPr>
      <w:r>
        <w:t xml:space="preserve">Najvýraznejším celkovým obrazom výsledkov je napätie medzi priaznivým priemerom a slabšou diferenciačnou silou merania. Ako ukázala Tabuľka 2, index klinickej vierohodnosti dosiahol priemer 4,08, prirodzenosť jazyka 3,92 a tréningová použiteľnosť 3,95, zatiaľ čo index defektov ostal nízky. Tento obraz by sa dal pri povrchnom čítaní interpretovať ako jednoznačne priaznivý. Frekvenčné rozdelenia v Tabuľke 3 a prekryv odhadovaných marginálnych priemerov v Obrázkoch 1 a 2 však ukazujú, že veľká časť rozhovorov sa koncentrovala v relatívne úzkom pásme stredne vyšších hodnotení. To znamená, že aktuálny korpus nepôsobí ako zbierka zjavne nekvalitných simulácií, ale zároveň neposkytuje veľmi široký priestor na zachytenie jemných rozdielov medzi podmienkami.</w:t>
      </w:r>
    </w:p>
    <w:p>
      <w:pPr>
        <w:pStyle w:val="BodyText"/>
      </w:pPr>
      <w:r>
        <w:t xml:space="preserve">Z interpretačného hľadiska je to dôležité. Naznačuje to, že simulačný rámec už vie generovať rozhovory, ktoré expertov spravidla nevedú k dojmu zjavného klinického zlyhania. Zároveň to však znamená, že slabý alebo nulový efekt štruktúrujúceho klinického usmernenia či profilu odpovedania nemožno čítať iba ako dôkaz ich neúčinnosti. Časť slabosti efektov môže byť reálna, ale časť môže súvisieť aj s kompresiou škály, malým a nevyváženým panelom hodnotiteľov a pilotnou povahou materiálu.</w:t>
      </w:r>
    </w:p>
    <w:p>
      <w:pPr>
        <w:pStyle w:val="BodyText"/>
      </w:pPr>
      <w:r>
        <w:t xml:space="preserve">V tomto svetle je dôležité, že jadrové hypotézy vrátane H4 nedostali v hlavných modeloch presvedčivú oporu. Výsledky preto nepodporujú silný záver, že by štruktúrujúce klinické usmernenie samo osebe zvyšovalo klinickú vierohodnosť, prirodzenosť jazyka alebo tréningovú použiteľnosť, ani že by rozvinutejší profil odpovedania automaticky zlepšoval výsledný rozhovor alebo jeho zhodu s kotvami. Presnejšie povedané, aktuálny dátový súbor skôr ukazuje, že tieto manipulácie mohli vytvárať drobné smerové posuny, ale ich efekt nebol natoľko silný a stabilný, aby tvoril konfirmačné jadro práce.</w:t>
      </w:r>
    </w:p>
    <w:bookmarkEnd w:id="94"/>
    <w:bookmarkStart w:id="95" w:name="Xdb97b7414cbc338b2b58f8d85f5b9f414a941ea"/>
    <w:p>
      <w:pPr>
        <w:pStyle w:val="Heading3"/>
      </w:pPr>
      <w:r>
        <w:t xml:space="preserve">4.3 Čo do interpretácie vnáša predbežná expertná obsahová kontrola</w:t>
      </w:r>
    </w:p>
    <w:p>
      <w:pPr>
        <w:pStyle w:val="FirstParagraph"/>
      </w:pPr>
      <w:r>
        <w:t xml:space="preserve">Predbežná expertná obsahová kontrola je dôležitou súčasťou interpretácie, nie iba technickým predkrokom. Ukázala totiž, že hodnotiaci nástroj ani východiskové scenáre nevstupovali do hlavného zberu ako úplne nepreverený materiál. Globálne položky a ľudské odhady závažnosti či funkčného dopadu boli expertmi podporené pomerne priaznivo, čo posilňuje argument, že jadro konštruktu bolo uchopené zmysluplne. Zároveň však táto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naznačila, že práve defektový blok môže byť citlivejší na interpretačný štýl jednotlivých hodnotiteľov. Podobne sa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ukázal nesúlad medzi zamýšľanou a expertne vnímanou závažnosťou, čo znamená, že časť variability v neskorších ľudských odhadoch závažnosti a v ukazovateľoch odchýlky voči kotvám nemusí byť iba vlastnosťou modelu alebo hodnotiteľov, ale aj dôsledkom menej jednoznačne ukotveného podnetového materiálu.</w:t>
      </w:r>
    </w:p>
    <w:p>
      <w:pPr>
        <w:pStyle w:val="BodyText"/>
      </w:pPr>
      <w:r>
        <w:t xml:space="preserve">Pre diskusiu to znamená dve veci. Po prvé, výsledky nemožno redukovať na otázku, či „funguje“ alebo „nefunguje“ jedna konkrétna generatívna manipulácia. Po druhé, metodická sila práce neleží iba v porovnaní experimentálnych buniek, ale aj v tom, že hodnotiaci nástroj a východiskové scenáre prešli pred hlavným zberom obsahovou kalibráciou. Nejde ešte o plnohodnotnú psychometrickú validačnú štúdiu, ale o dôležitý filter, ktorý zvyšuje dôveryhodnosť neskoršej interpretácie.</w:t>
      </w:r>
    </w:p>
    <w:bookmarkEnd w:id="95"/>
    <w:bookmarkStart w:id="96" w:name="X45f77e487d43509e77656f728fdff46259062ee"/>
    <w:p>
      <w:pPr>
        <w:pStyle w:val="Heading3"/>
      </w:pPr>
      <w:r>
        <w:t xml:space="preserve">4.4 Prečo sa efekt štruktúrujúceho usmernenia a profilu neukázal silnejšie</w:t>
      </w:r>
    </w:p>
    <w:p>
      <w:pPr>
        <w:pStyle w:val="FirstParagraph"/>
      </w:pPr>
      <w:r>
        <w:t xml:space="preserve">Najprv treba povedať, že výsledky neukazujú úplnú absenciu pravidelností. Pri indexe defektov bol efekt štruktúrujúceho klinického usmernenia smerovo mierne priaznivý a v doplnkových ordinálnych modeloch sa objavili aj slabšie signály pri ľudských odhadoch závažnosti a funkčného dopadu. Tieto posuny však netvorili konzistentný obraz naprieč jadrovými ukazovateľmi a vetvou ukazovateľov odchýlky voči kotvám, preto ich nemožno interpretovať ako silný dôkaz podporujúci hlavné hypotézy.</w:t>
      </w:r>
    </w:p>
    <w:p>
      <w:pPr>
        <w:pStyle w:val="BodyText"/>
      </w:pPr>
      <w:r>
        <w:t xml:space="preserve">Jedno možné vysvetlenie je, že manipulácia bola vzhľadom na cieľ práce príliš hrubá. Samotné dichotomické rozlíšenie medzi absenciou a prítomnosťou štruktúrujúceho klinického usmernenia zrejme nestačí na to, aby systematicky zmenilo kvalitu výsledného rozhovoru vo všetkých sledovaných dimenziách. V praxi môže kvalitu rozhovoru ovplyvňovať celý rad jemnejších prvkov: presná formulácia usmernenia, spôsob vedenia doplňujúcich otázok, miera lokálnej variability odpovedí, pravidlá postupného odhaľovania ťažkostí alebo jazyková prirodzenosť výmen.</w:t>
      </w:r>
    </w:p>
    <w:p>
      <w:pPr>
        <w:pStyle w:val="BodyText"/>
      </w:pPr>
      <w:r>
        <w:t xml:space="preserve">Druhé vysvetlenie sa týka profilu odpovedania. Rozvinutejší profil nemusí byť automaticky kvalitnejší. Viac textu a viac detailov môže zvyšovať pocit prirodzenosti len dovtedy, kým sa nepreklopia do dojmu pripravenosti, mechanickosti alebo príliš disciplinovanej odpovede. V tomto zmysle je vhodnejšie uvažovať o tom, že profil</w:t>
      </w:r>
      <w:r>
        <w:t xml:space="preserve"> </w:t>
      </w:r>
      <w:r>
        <w:rPr>
          <w:rStyle w:val="VerbatimChar"/>
        </w:rPr>
        <w:t xml:space="preserve">P3</w:t>
      </w:r>
      <w:r>
        <w:t xml:space="preserve"> </w:t>
      </w:r>
      <w:r>
        <w:t xml:space="preserve">nemení kvalitu lineárne smerom nahor, ale skôr presúva typ možných nedostatkov.</w:t>
      </w:r>
    </w:p>
    <w:p>
      <w:pPr>
        <w:pStyle w:val="BodyText"/>
      </w:pPr>
      <w:r>
        <w:t xml:space="preserve">Tretie vysvetlenie je meracie. Ak hodnotenia ostávajú v úzkom pásme a panel hodnotiteľov je malý a nerovnomerný, malé efekty majú nízku šancu ukázať sa ako robustné. To neznamená, že v dátach boli skryté veľké efekty, skôr to znamená, že pre malé a stredné rozdiely bol tento pilot málo citlivý.</w:t>
      </w:r>
    </w:p>
    <w:bookmarkEnd w:id="96"/>
    <w:bookmarkStart w:id="97" w:name="X1a524b4215338d963df93d7512fb94c08a912ff"/>
    <w:p>
      <w:pPr>
        <w:pStyle w:val="Heading3"/>
      </w:pPr>
      <w:r>
        <w:t xml:space="preserve">4.5 Kde sa simulácie lámu: mechanickosť skôr než klinické jadro</w:t>
      </w:r>
    </w:p>
    <w:p>
      <w:pPr>
        <w:pStyle w:val="FirstParagraph"/>
      </w:pPr>
      <w:r>
        <w:t xml:space="preserve">Najzaujímavejším výstupom exploratórnej kvalitatívnej vrstvy je, že dominantnou témou otvorených komentárov nebol hrubý klinický rozpad, ale mechanickosť, šablónovitosť a miestami aj príliš disciplinovaný priebeh odpovedí. Tento motív je dôležitý, pretože mení interpretáciu toho, čo je dnes na simuláciách najslabšie. Nezdá sa, že by systém primárne zlyhával v udržaní základného depresívneho rámca. Slabšie miesto je skôr v mikrodynamike rozhovoru: v prirodzenosti váhania, v organickosti doplňujúcich otázok, v lokálnej koherencii detailov a v schopnosti niesť klinicky významný obsah bez dojmu, že odpoveď je pripravená pre hodnotenie.</w:t>
      </w:r>
    </w:p>
    <w:p>
      <w:pPr>
        <w:pStyle w:val="BodyText"/>
      </w:pPr>
      <w:r>
        <w:t xml:space="preserve">Tento obraz dobre korešponduje s novšou literatúrou o virtuálnych klientoch a LLM simuláciách. Ako ukazujú</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digitálne simulácie môžu byť didakticky cenné už vtedy, keď ešte nedosahujú plný realizmus, ale ich slabinou býva práve prílišná kooperatívnosť, nižšia spontánnosť alebo mechanickejší štýl odpovedí. Aj v tomto korpuse sa teda slabina neukazuje v základnom uchopení depresívneho rámca, ale skôr v tom, že časť odpovedí pôsobí príliš učebnicovo.</w:t>
      </w:r>
    </w:p>
    <w:p>
      <w:pPr>
        <w:pStyle w:val="BodyText"/>
      </w:pPr>
      <w:r>
        <w:t xml:space="preserve">Zaujímavé je aj to, že vetva ukazovateľov odchýlky voči kotvám zostala skôr umiernená. Priemerná absolútna odchýlka v symptomatických doménach nebola vysoká a smer efektu usmernenia bol mierne priaznivý, ale malý. To znamená, že základná symptomatická logika sa v mnohých prepisoch rozhovorov udržala lepšie, než by sa z otvorených komentárov o mechanickosti mohlo zdať. Zároveň sa však nepotvrdzuje predstava, že by usmernenie alebo rozvinutejší profil odpovedania automaticky vyriešili zhodu s kotvami výrazným spôsobom.</w:t>
      </w:r>
    </w:p>
    <w:bookmarkEnd w:id="97"/>
    <w:bookmarkStart w:id="98" w:name="X1b57c2eefceecc055034be6e93e1236343d84bc"/>
    <w:p>
      <w:pPr>
        <w:pStyle w:val="Heading3"/>
      </w:pPr>
      <w:r>
        <w:t xml:space="preserve">4.6 Tréningová použiteľnosť a vzťah k literatúre</w:t>
      </w:r>
    </w:p>
    <w:p>
      <w:pPr>
        <w:pStyle w:val="FirstParagraph"/>
      </w:pPr>
      <w:r>
        <w:t xml:space="preserve">To, že tréningová použiteľnosť (</w:t>
      </w:r>
      <w:r>
        <w:rPr>
          <w:rStyle w:val="VerbatimChar"/>
        </w:rPr>
        <w:t xml:space="preserve">G5</w:t>
      </w:r>
      <w:r>
        <w:t xml:space="preserve">) dosiahla v priemere hodnotu blízku kategórii „skôr použiteľné“, je z aplikačného hľadiska povzbudivé. Znamená to, že expertný panel v priemere nevnímal tieto prepisy rozhovorov ako principiálne nepoužiteľné. Pre psychologické vzdelávanie je to dôležité, pretože simulácie nemusia byť dokonalé, aby mali didaktickú hodnotu. Ako zdôrazňujú</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a</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Presvedčivejšie vyzerá ako materiál vhodný do kontrolovaného výučbového rámca, v ktorom je prítomný debriefing, spätná väzba alebo supervízia. V tomto bode sa výsledky zhodujú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p>
      <w:pPr>
        <w:pStyle w:val="BodyText"/>
      </w:pPr>
      <w:r>
        <w:t xml:space="preserve">Výsledky sa zároveň dobre čítajú aj v širšom rámci napätia medzi štandardizáciou a ekologickou validitou.</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ukazujú, že štandardizácia je didakticky aj výskumne užitočná, no vždy sa pohybuje v napätí s prirodzenosťou a spontánnosťou. Aktuálny korpus ukazuje presne tento problém: rozhovory sú dostatočne disciplinované na to, aby držali základný klinický rámec, no práve táto disciplína môže znižovať pocit autenticity.</w:t>
      </w:r>
    </w:p>
    <w:p>
      <w:pPr>
        <w:pStyle w:val="BodyText"/>
      </w:pPr>
      <w:r>
        <w:t xml:space="preserve">Relevantný je aj širší rámec kvality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tejto práci sa problém neukázal ako masívna halucinačná chybovosť. Ukázal sa skôr ako jemný rozdiel medzi tým, že rozhovor „znie celkom dobre“, a tým, že je aj pri bližšom odbornom čítaní dostatočne organický, klinicky presvedčivý a metodicky spoľahlivý.</w:t>
      </w:r>
    </w:p>
    <w:bookmarkEnd w:id="98"/>
    <w:bookmarkStart w:id="99" w:name="metodologický-prínos-a-limity-práce"/>
    <w:p>
      <w:pPr>
        <w:pStyle w:val="Heading3"/>
      </w:pPr>
      <w:r>
        <w:t xml:space="preserve">4.7 Metodologický prínos a limity práce</w:t>
      </w:r>
    </w:p>
    <w:p>
      <w:pPr>
        <w:pStyle w:val="FirstParagraph"/>
      </w:pPr>
      <w:r>
        <w:t xml:space="preserve">Za hlavný metodologický prínos práce nepovažujem dôkaz silného experimentálneho efektu, ale vybudovanie viacvrstvového simulačného rámca. Práca nespája iba jedno textové zadanie pre model a jeden balík prepisov rozhovorov. Spája východiskové scenáre, kontrolované generovanie, predbežnú expertnú obsahovú kontrolu, autorský hodnotiaci nástroj a viacúrovňové výsledkové ukazovatele zahŕňajúce globálnu kvalitu, defekty aj zhodu s kotvami. Tento rámec je metodologicky prenositeľný aj na ďalšie klinické okruhy.</w:t>
      </w:r>
    </w:p>
    <w:p>
      <w:pPr>
        <w:pStyle w:val="BodyText"/>
      </w:pPr>
      <w:r>
        <w:t xml:space="preserve">Zároveň má práca viacero jasných limitov. Prvým je pilotný charakter dátového súboru a relatívne malý, nevyvážený panel hodnotiteľov. Čísla preto treba čítať ako odhad smeru a veľkosti efektov, nie ako definitívne uzavretý obraz kvality simulácií. Druhým limitom je architektúra ratingovej vrstvy. Tabuľka 5 ukázala, že ICC odhady pre jadrové ukazovatele neboli v aktuálnom spracovaní numericky reportovateľné. To samo osebe neznamená, že výsledky sú nepoužiteľné, ale významne to oslabuje silu inferencií založených na jemných rozdieloch medzi ľudskými hodnoteniami. Tretím limitom je nevyváženosť počtov hodnotení medzi bunkami a stlačené rozdelenie viacerých ukazovateľov, ktoré znižujú citlivosť na malé rozdiely medzi podmienkami. Štvrtým limitom je citlivosť vetvy ukazovateľov odchýlky voči kotvám na úrovni prepisu rozhovoru na malý a nevyvážený panel hodnotiteľov a na agregáciu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Piatym limitom je samotná povaha podnetového materiálu: hodnotené boli textové simulácie, nie živé multimodálne rozhovory, takže v nich chýbajú neverbálne a paralingvistické znaky, ktoré v reálnej klinickej situácii spoluutvárajú dojem z klienta aj interpretáciu symptomatiky.</w:t>
      </w:r>
    </w:p>
    <w:p>
      <w:pPr>
        <w:pStyle w:val="BodyText"/>
      </w:pPr>
      <w:r>
        <w:t xml:space="preserve">Za dôležité považujem aj to, že doplnkový model s náhodným interceptom pre konkrétny prepis rozhovoru zachoval smer hlavných aj interakčných efektov, hoci táto overovacia vetva ostala singularná. Tabuľka 9 preto neposkytuje dôvod meniť hlavný interpretačný obraz, ale zároveň neprináša dostatočne silný argument na jeho zosilnenie.</w:t>
      </w:r>
    </w:p>
    <w:bookmarkEnd w:id="99"/>
    <w:bookmarkStart w:id="100" w:name="praktické-implikácie-a-ďalší-výskum"/>
    <w:p>
      <w:pPr>
        <w:pStyle w:val="Heading3"/>
      </w:pPr>
      <w:r>
        <w:t xml:space="preserve">4.8 Praktické implikácie a ďalší výskum</w:t>
      </w:r>
    </w:p>
    <w:p>
      <w:pPr>
        <w:pStyle w:val="FirstParagraph"/>
      </w:pPr>
      <w:r>
        <w:t xml:space="preserve">Z praktického hľadiska práca naznačuje, že AI-generované simulované rozhovory môžu mať miesto ako doplnkový tréningový materiál v psychologickom vzdelávaní, najmä ak sú zasadené do kontrolovaného rámca so spätnou väzbou. V tejto fáze však nejde o argument pre náhradu živého kontaktu s klientom, supervízie alebo štandardizovaného pacienta. Presvedčivejší je argument pre bezpečný medzikrok, na ktorom možno trénovať vedenie rozhovoru, identifikáciu jadra symptomatiky a reflexiu limitov simulovaného materiálu.</w:t>
      </w:r>
    </w:p>
    <w:p>
      <w:pPr>
        <w:pStyle w:val="BodyText"/>
      </w:pPr>
      <w:r>
        <w:t xml:space="preserve">Z metodologického hľadiska je najrozumnejším ďalším krokom neposúvať hneď priestor prepisov rozhovorov, ale najprv posilniť vrstvu expertného hodnotenia. Vzhľadom na aktuálny obraz by mal veľkú hodnotu ešte aspoň jeden ďalší hodnotiteľ s plným pokrytím existujúcich 72 prepisov rozhovorov. Takýto krok by zlepšil interpretovateľnosť zhody aj stabilitu inferenčných modelov viac než ďalšie rozširovanie korpusu pri nezmenenej meracej vrstve.</w:t>
      </w:r>
    </w:p>
    <w:p>
      <w:pPr>
        <w:pStyle w:val="BodyText"/>
      </w:pPr>
      <w:r>
        <w:t xml:space="preserve">Popri tom je potrebné prepracovať návrh generovania so zameraním na zníženie nacvičenosti odpovedí, väčšiu prirodzenosť doplňujúcich otázok a lepšie odlíšenie depresívneho obrazu od všeobecného stresu, úzkostného ladenia alebo vyhorenia. Až potom bude mať väčší zmysel systematickejšie porovnávať viac modelov, viac architektúr riadenia simulácie alebo priamo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Samostatnou budúcou úlohou je aj dotiahnutie vetvy ukazovateľov odchýlky voči kotvám tak, aby mala rovnaký evidenčný status ako ostatné bloky výsledkových ukazovateľov. To znamená spresniť anchorovanie, stabilizovať panel hodnotiteľov a udržať dôsledné spracovanie na úrovni prepisu rozhovoru tam, kde sa výsledok vzťahuje k vlastnostiam konkrétneho prepisu rozhovoru, nie k počtu hodnotení.</w:t>
      </w:r>
    </w:p>
    <w:bookmarkEnd w:id="100"/>
    <w:bookmarkStart w:id="101" w:name="záver-diskusie"/>
    <w:p>
      <w:pPr>
        <w:pStyle w:val="Heading3"/>
      </w:pPr>
      <w:r>
        <w:t xml:space="preserve">4.9 Záver diskusie</w:t>
      </w:r>
    </w:p>
    <w:p>
      <w:pPr>
        <w:pStyle w:val="FirstParagraph"/>
      </w:pPr>
      <w:r>
        <w:t xml:space="preserve">Aktuálny korpus ukazuje, že AI-generované simulované rozhovory s depresívnou symptomatikou už možno považovať za metodicky použiteľný pilotný materiál, nie však ešte za plne stabilné a jednoducho optimalizovateľné riešenie. Rozhovory držia základný klinický rámec a v priemere nepôsobia ako zjavne nekvalitné, ale ich slabinou zostáva mechanickosť, stlačené rozdelenie hodnotení, limitovaná zhoda expertov a opatrná interpretovateľnosť vetvy zhody s kotvami.</w:t>
      </w:r>
    </w:p>
    <w:p>
      <w:pPr>
        <w:pStyle w:val="BodyText"/>
      </w:pPr>
      <w:r>
        <w:t xml:space="preserve">Hlavným prínosom práce preto v tejto fáze nie je dôkaz silného efektu jednej generatívnej manipulácie, ale ukázanie, že kvalitu takýchto simulácií možno systematicky mapovať, porovnávať a postupne zlepšovať v rámci kontrolovaného simulačného rámca. Práve táto metodická mapa je v aktuálnej fáze presvedčivejším výsledkom než predčasne tvrdý záver, že jedna konkrétna generatívna úprava už problém kvality vyriešila.</w:t>
      </w:r>
    </w:p>
    <w:bookmarkEnd w:id="101"/>
    <w:bookmarkEnd w:id="102"/>
    <w:bookmarkEnd w:id="103"/>
    <w:bookmarkStart w:id="105" w:name="conclusion-záver"/>
    <w:p>
      <w:pPr>
        <w:pStyle w:val="Heading1"/>
      </w:pPr>
      <w:r>
        <w:t xml:space="preserve">60 Conclusion / Záver</w:t>
      </w:r>
    </w:p>
    <w:bookmarkStart w:id="104" w:name="záver"/>
    <w:p>
      <w:pPr>
        <w:pStyle w:val="Heading2"/>
      </w:pPr>
      <w:r>
        <w:t xml:space="preserve">5 Záver</w:t>
      </w:r>
    </w:p>
    <w:p>
      <w:pPr>
        <w:pStyle w:val="FirstParagraph"/>
      </w:pPr>
      <w:r>
        <w:t xml:space="preserve">Cieľom diplomovej práce bolo metodologicky overiť kvalitu AI-generovaných simulovaných klinických rozhovorov s depresívnou symptomatikou a preskúmať, či sa ich kvalita mení podľa prítomnosti štruktúrujúceho klinického usmernenia a podľa profilu odpovedania simulovaného pacienta. Práca bola koncipovaná ako faktorový experiment založený na odbornom hodnotení, v ktorom 6 hodnotiteľov posudzovalo 72 textových prepisov rozhovorov vytvorených kombináciou 12 východiskových scenárov a 6 variantov generovania; hlavný analyzovaný súbor tvorilo 199 hodnotení.</w:t>
      </w:r>
    </w:p>
    <w:p>
      <w:pPr>
        <w:pStyle w:val="BodyText"/>
      </w:pPr>
      <w:r>
        <w:t xml:space="preserve">Hlavným prínosom práce je vytvorenie a pilotné overenie viacvrstvového rámca hodnotenia, ktorý kombinuje globálnu kvalitu rozhovoru, ukazovatele defektov a zhodu s kotvami východiskových scenárov. Tento rámec umožňuje posudzovať simulované rozhovory nielen ako jazykovo plynulý text, ale ako metodicky kontrolovaný psychologický materiál.</w:t>
      </w:r>
    </w:p>
    <w:p>
      <w:pPr>
        <w:pStyle w:val="BodyText"/>
      </w:pPr>
      <w:r>
        <w:t xml:space="preserve">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Kvalitatívna vrstva naznačila, že dominantnou slabinou simulácií nie je hrubý klinický rozpad, ale skôr mechanickosť, šablónovitosť a slabšie doplňujúce otázky. Interpretačnú silu výsledkov zároveň obmedzil malý a nerovnomerný panel hodnotiteľov a nevyplnené ICC odhady.</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prepisov rozhovorov, ale aj metodický podklad pre budúci simulačný rámec, ktorý možno rozširovať na ďalšie klinické okruhy a neskôr aj na multimodálne formy interakcie.</w:t>
      </w:r>
    </w:p>
    <w:p>
      <w:pPr>
        <w:pStyle w:val="BodyText"/>
      </w:pPr>
      <w:r>
        <w:t xml:space="preserve">Zároveň však práca ukazuje, že ide o oblasť, ktorá si vyžaduje ďalší výskum, najmä pokiaľ ide o stabilitu výsledkov, posilnenie vrstvy hodnotiteľov, spresnenie generovania a porovnanie viacerých modelov či klinických scenárov. Predkladanú štúdiu preto možno chápať ako pilotný krok k systematickejšiemu skúmaniu kvality AI-generovaných psychologických simulácií.</w:t>
      </w:r>
    </w:p>
    <w:bookmarkEnd w:id="104"/>
    <w:bookmarkEnd w:id="105"/>
    <w:bookmarkStart w:id="193" w:name="literatúra"/>
    <w:p>
      <w:pPr>
        <w:pStyle w:val="Heading1"/>
      </w:pPr>
      <w:r>
        <w:t xml:space="preserve">Literatúra</w:t>
      </w:r>
    </w:p>
    <w:bookmarkStart w:id="192" w:name="refs"/>
    <w:bookmarkStart w:id="107"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06">
        <w:r>
          <w:rPr>
            <w:rStyle w:val="Hyperlink"/>
          </w:rPr>
          <w:t xml:space="preserve">https://doi.org/10.4103/ipj.ipj_377_24</w:t>
        </w:r>
      </w:hyperlink>
    </w:p>
    <w:bookmarkEnd w:id="107"/>
    <w:bookmarkStart w:id="109"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08">
        <w:r>
          <w:rPr>
            <w:rStyle w:val="Hyperlink"/>
          </w:rPr>
          <w:t xml:space="preserve">https://doi.org/10.1038/s41746-025-01670-7</w:t>
        </w:r>
      </w:hyperlink>
    </w:p>
    <w:bookmarkEnd w:id="109"/>
    <w:bookmarkStart w:id="111"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10">
        <w:r>
          <w:rPr>
            <w:rStyle w:val="Hyperlink"/>
          </w:rPr>
          <w:t xml:space="preserve">https://doi.org/10.3389/feduc.2021.653269</w:t>
        </w:r>
      </w:hyperlink>
    </w:p>
    <w:bookmarkEnd w:id="111"/>
    <w:bookmarkStart w:id="113"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12">
        <w:r>
          <w:rPr>
            <w:rStyle w:val="Hyperlink"/>
          </w:rPr>
          <w:t xml:space="preserve">https://doi.org/10.1111/bjop.12577</w:t>
        </w:r>
      </w:hyperlink>
    </w:p>
    <w:bookmarkEnd w:id="113"/>
    <w:bookmarkStart w:id="115"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14">
        <w:r>
          <w:rPr>
            <w:rStyle w:val="Hyperlink"/>
          </w:rPr>
          <w:t xml:space="preserve">https://doi.org/10.3389/fpubh.2018.00149</w:t>
        </w:r>
      </w:hyperlink>
    </w:p>
    <w:bookmarkEnd w:id="115"/>
    <w:bookmarkStart w:id="117"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16">
        <w:r>
          <w:rPr>
            <w:rStyle w:val="Hyperlink"/>
          </w:rPr>
          <w:t xml:space="preserve">https://doi.org/10.1186/s12909-024-06399-7</w:t>
        </w:r>
      </w:hyperlink>
    </w:p>
    <w:bookmarkEnd w:id="117"/>
    <w:bookmarkStart w:id="118"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18"/>
    <w:bookmarkStart w:id="120"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19">
        <w:r>
          <w:rPr>
            <w:rStyle w:val="Hyperlink"/>
          </w:rPr>
          <w:t xml:space="preserve">https://doi.org/10.3390/nursrep14020107</w:t>
        </w:r>
      </w:hyperlink>
    </w:p>
    <w:bookmarkEnd w:id="120"/>
    <w:bookmarkStart w:id="122"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21">
        <w:r>
          <w:rPr>
            <w:rStyle w:val="Hyperlink"/>
          </w:rPr>
          <w:t xml:space="preserve">https://doi.org/10.4088/JCP.ot18043ah2</w:t>
        </w:r>
      </w:hyperlink>
    </w:p>
    <w:bookmarkEnd w:id="122"/>
    <w:bookmarkStart w:id="124"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23">
        <w:r>
          <w:rPr>
            <w:rStyle w:val="Hyperlink"/>
          </w:rPr>
          <w:t xml:space="preserve">https://doi.org/10.1016/j.ijchp.2014.12.001</w:t>
        </w:r>
      </w:hyperlink>
    </w:p>
    <w:bookmarkEnd w:id="124"/>
    <w:bookmarkStart w:id="126"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25">
        <w:r>
          <w:rPr>
            <w:rStyle w:val="Hyperlink"/>
          </w:rPr>
          <w:t xml:space="preserve">https://doi.org/10.1177/14757257221093490</w:t>
        </w:r>
      </w:hyperlink>
    </w:p>
    <w:bookmarkEnd w:id="126"/>
    <w:bookmarkStart w:id="128"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27">
        <w:r>
          <w:rPr>
            <w:rStyle w:val="Hyperlink"/>
          </w:rPr>
          <w:t xml:space="preserve">https://doi.org/10.1159/000317532</w:t>
        </w:r>
      </w:hyperlink>
    </w:p>
    <w:bookmarkEnd w:id="128"/>
    <w:bookmarkStart w:id="130"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29">
        <w:r>
          <w:rPr>
            <w:rStyle w:val="Hyperlink"/>
          </w:rPr>
          <w:t xml:space="preserve">https://doi.org/10.1046/j.1365-2648.2000.t01-1-01567.x</w:t>
        </w:r>
      </w:hyperlink>
    </w:p>
    <w:bookmarkEnd w:id="130"/>
    <w:bookmarkStart w:id="132"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31">
        <w:r>
          <w:rPr>
            <w:rStyle w:val="Hyperlink"/>
          </w:rPr>
          <w:t xml:space="preserve">https://doi.org/10.1007/s10742-016-0145-9</w:t>
        </w:r>
      </w:hyperlink>
    </w:p>
    <w:bookmarkEnd w:id="132"/>
    <w:bookmarkStart w:id="134"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33">
        <w:r>
          <w:rPr>
            <w:rStyle w:val="Hyperlink"/>
          </w:rPr>
          <w:t xml:space="preserve">https://doi.org/10.1016/S0165-0327(14)70004-7</w:t>
        </w:r>
      </w:hyperlink>
    </w:p>
    <w:bookmarkEnd w:id="134"/>
    <w:bookmarkStart w:id="136"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35">
        <w:r>
          <w:rPr>
            <w:rStyle w:val="Hyperlink"/>
          </w:rPr>
          <w:t xml:space="preserve">https://doi.org/10.3389/frvir.2022.827312</w:t>
        </w:r>
      </w:hyperlink>
    </w:p>
    <w:bookmarkEnd w:id="136"/>
    <w:bookmarkStart w:id="137"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37"/>
    <w:bookmarkStart w:id="139"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38">
        <w:r>
          <w:rPr>
            <w:rStyle w:val="Hyperlink"/>
          </w:rPr>
          <w:t xml:space="preserve">https://doi.org/10.31887/DCNS.2008.10.3/shkennedy</w:t>
        </w:r>
      </w:hyperlink>
    </w:p>
    <w:bookmarkEnd w:id="139"/>
    <w:bookmarkStart w:id="141"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40">
        <w:r>
          <w:rPr>
            <w:rStyle w:val="Hyperlink"/>
          </w:rPr>
          <w:t xml:space="preserve">https://doi.org/10.18653/v1/2025.findings-acl.1332</w:t>
        </w:r>
      </w:hyperlink>
    </w:p>
    <w:bookmarkEnd w:id="141"/>
    <w:bookmarkStart w:id="143"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42">
        <w:r>
          <w:rPr>
            <w:rStyle w:val="Hyperlink"/>
          </w:rPr>
          <w:t xml:space="preserve">https://doi.org/10.2196/14676</w:t>
        </w:r>
      </w:hyperlink>
    </w:p>
    <w:bookmarkEnd w:id="143"/>
    <w:bookmarkStart w:id="145"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44">
        <w:r>
          <w:rPr>
            <w:rStyle w:val="Hyperlink"/>
          </w:rPr>
          <w:t xml:space="preserve">https://doi.org/10.1046/j.1525-1497.2001.016009606.x</w:t>
        </w:r>
      </w:hyperlink>
    </w:p>
    <w:bookmarkEnd w:id="145"/>
    <w:bookmarkStart w:id="147"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46">
        <w:r>
          <w:rPr>
            <w:rStyle w:val="Hyperlink"/>
          </w:rPr>
          <w:t xml:space="preserve">https://doi.org/10.18653/v1/2025.findings-acl.118</w:t>
        </w:r>
      </w:hyperlink>
    </w:p>
    <w:bookmarkEnd w:id="147"/>
    <w:bookmarkStart w:id="149"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48">
        <w:r>
          <w:rPr>
            <w:rStyle w:val="Hyperlink"/>
          </w:rPr>
          <w:t xml:space="preserve">https://doi.org/10.48550/arXiv.2404.13066</w:t>
        </w:r>
      </w:hyperlink>
    </w:p>
    <w:bookmarkEnd w:id="149"/>
    <w:bookmarkStart w:id="151"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50">
        <w:r>
          <w:rPr>
            <w:rStyle w:val="Hyperlink"/>
          </w:rPr>
          <w:t xml:space="preserve">https://doi.org/10.1002/wps.20771</w:t>
        </w:r>
      </w:hyperlink>
    </w:p>
    <w:bookmarkEnd w:id="151"/>
    <w:bookmarkStart w:id="153"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52">
        <w:r>
          <w:rPr>
            <w:rStyle w:val="Hyperlink"/>
          </w:rPr>
          <w:t xml:space="preserve">https://doi.org/10.5817/TF2016-7-90</w:t>
        </w:r>
      </w:hyperlink>
    </w:p>
    <w:bookmarkEnd w:id="153"/>
    <w:bookmarkStart w:id="155"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54">
        <w:r>
          <w:rPr>
            <w:rStyle w:val="Hyperlink"/>
          </w:rPr>
          <w:t xml:space="preserve">https://doi.org/10.1016/j.isci.2024.109713</w:t>
        </w:r>
      </w:hyperlink>
    </w:p>
    <w:bookmarkEnd w:id="155"/>
    <w:bookmarkStart w:id="157" w:name="ref-mchugh2012InterraterReliabilityKappa"/>
    <w:p>
      <w:pPr>
        <w:pStyle w:val="Bibliography"/>
      </w:pPr>
      <w:r>
        <w:t xml:space="preserve">McHugh, M. L. (2012).</w:t>
      </w:r>
      <w:r>
        <w:t xml:space="preserve"> </w:t>
      </w:r>
      <w:hyperlink ns4:id="rId156">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57"/>
    <w:bookmarkStart w:id="158"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58"/>
    <w:bookmarkStart w:id="160"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59">
        <w:r>
          <w:rPr>
            <w:rStyle w:val="Hyperlink"/>
          </w:rPr>
          <w:t xml:space="preserve">https://doi.org/10.1080/00050067.2025.2547800</w:t>
        </w:r>
      </w:hyperlink>
    </w:p>
    <w:bookmarkEnd w:id="160"/>
    <w:bookmarkStart w:id="162"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61">
        <w:r>
          <w:rPr>
            <w:rStyle w:val="Hyperlink"/>
          </w:rPr>
          <w:t xml:space="preserve">https://doi.org/10.1002/sim.6546</w:t>
        </w:r>
      </w:hyperlink>
    </w:p>
    <w:bookmarkEnd w:id="162"/>
    <w:bookmarkStart w:id="164"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63">
        <w:r>
          <w:rPr>
            <w:rStyle w:val="Hyperlink"/>
          </w:rPr>
          <w:t xml:space="preserve">https://doi.org/10.1038/s44277-024-00010-z</w:t>
        </w:r>
      </w:hyperlink>
    </w:p>
    <w:bookmarkEnd w:id="164"/>
    <w:bookmarkStart w:id="166"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65">
        <w:r>
          <w:rPr>
            <w:rStyle w:val="Hyperlink"/>
          </w:rPr>
          <w:t xml:space="preserve">https://doi.org/10.1002/nur.20199</w:t>
        </w:r>
      </w:hyperlink>
    </w:p>
    <w:bookmarkEnd w:id="166"/>
    <w:bookmarkStart w:id="168"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67">
        <w:r>
          <w:rPr>
            <w:rStyle w:val="Hyperlink"/>
          </w:rPr>
          <w:t xml:space="preserve">https://doi.org/10.3389/feduc.2022.840258</w:t>
        </w:r>
      </w:hyperlink>
    </w:p>
    <w:bookmarkEnd w:id="168"/>
    <w:bookmarkStart w:id="170"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69">
        <w:r>
          <w:rPr>
            <w:rStyle w:val="Hyperlink"/>
          </w:rPr>
          <w:t xml:space="preserve">https://doi.org/10.2196/59823</w:t>
        </w:r>
      </w:hyperlink>
    </w:p>
    <w:bookmarkEnd w:id="170"/>
    <w:bookmarkStart w:id="172"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71">
        <w:r>
          <w:rPr>
            <w:rStyle w:val="Hyperlink"/>
          </w:rPr>
          <w:t xml:space="preserve">https://doi.org/10.5480/15-1640</w:t>
        </w:r>
      </w:hyperlink>
    </w:p>
    <w:bookmarkEnd w:id="172"/>
    <w:bookmarkStart w:id="174"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73">
        <w:r>
          <w:rPr>
            <w:rStyle w:val="Hyperlink"/>
          </w:rPr>
          <w:t xml:space="preserve">https://doi.org/10.1080/13284207.2021.1923125</w:t>
        </w:r>
      </w:hyperlink>
    </w:p>
    <w:bookmarkEnd w:id="174"/>
    <w:bookmarkStart w:id="176"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75">
        <w:r>
          <w:rPr>
            <w:rStyle w:val="Hyperlink"/>
          </w:rPr>
          <w:t xml:space="preserve">https://doi.org/10.1186/s12909-025-07668-9</w:t>
        </w:r>
      </w:hyperlink>
    </w:p>
    <w:bookmarkEnd w:id="176"/>
    <w:bookmarkStart w:id="178"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77">
        <w:r>
          <w:rPr>
            <w:rStyle w:val="Hyperlink"/>
          </w:rPr>
          <w:t xml:space="preserve">https://doi.org/10.1186/s40814-019-0493-7</w:t>
        </w:r>
      </w:hyperlink>
    </w:p>
    <w:bookmarkEnd w:id="178"/>
    <w:bookmarkStart w:id="180"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79">
        <w:r>
          <w:rPr>
            <w:rStyle w:val="Hyperlink"/>
          </w:rPr>
          <w:t xml:space="preserve">https://doi.org/10.13060/23362391.2013.127.2.41</w:t>
        </w:r>
      </w:hyperlink>
    </w:p>
    <w:bookmarkEnd w:id="180"/>
    <w:bookmarkStart w:id="182"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81">
        <w:r>
          <w:rPr>
            <w:rStyle w:val="Hyperlink"/>
          </w:rPr>
          <w:t xml:space="preserve">https://doi.org/10.1007/s11136-018-1829-0</w:t>
        </w:r>
      </w:hyperlink>
    </w:p>
    <w:bookmarkEnd w:id="182"/>
    <w:bookmarkStart w:id="184"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183">
        <w:r>
          <w:rPr>
            <w:rStyle w:val="Hyperlink"/>
          </w:rPr>
          <w:t xml:space="preserve">https://doi.org/10.18653/v1/2024.emnlp-main.711</w:t>
        </w:r>
      </w:hyperlink>
    </w:p>
    <w:bookmarkEnd w:id="184"/>
    <w:bookmarkStart w:id="186"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185">
        <w:r>
          <w:rPr>
            <w:rStyle w:val="Hyperlink"/>
          </w:rPr>
          <w:t xml:space="preserve">https://doi.org/10.1186/s41077-016-0035-9</w:t>
        </w:r>
      </w:hyperlink>
    </w:p>
    <w:bookmarkEnd w:id="186"/>
    <w:bookmarkStart w:id="187"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187"/>
    <w:bookmarkStart w:id="188"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188"/>
    <w:bookmarkStart w:id="189"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189"/>
    <w:bookmarkStart w:id="191"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190">
        <w:r>
          <w:rPr>
            <w:rStyle w:val="Hyperlink"/>
          </w:rPr>
          <w:t xml:space="preserve">https://doi.org/10.1038/s43856-025-01283-x</w:t>
        </w:r>
      </w:hyperlink>
    </w:p>
    <w:bookmarkEnd w:id="191"/>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65" Target="https://doi.org/10.1002/nur.20199" TargetMode="External" /><Relationship Type="http://schemas.openxmlformats.org/officeDocument/2006/relationships/hyperlink" Id="rId161" Target="https://doi.org/10.1002/sim.6546" TargetMode="External" /><Relationship Type="http://schemas.openxmlformats.org/officeDocument/2006/relationships/hyperlink" Id="rId150" Target="https://doi.org/10.1002/wps.20771" TargetMode="External" /><Relationship Type="http://schemas.openxmlformats.org/officeDocument/2006/relationships/hyperlink" Id="rId131" Target="https://doi.org/10.1007/s10742-016-0145-9" TargetMode="External" /><Relationship Type="http://schemas.openxmlformats.org/officeDocument/2006/relationships/hyperlink" Id="rId181" Target="https://doi.org/10.1007/s11136-018-1829-0" TargetMode="External" /><Relationship Type="http://schemas.openxmlformats.org/officeDocument/2006/relationships/hyperlink" Id="rId133" Target="https://doi.org/10.1016/S0165-0327(14)70004-7" TargetMode="External" /><Relationship Type="http://schemas.openxmlformats.org/officeDocument/2006/relationships/hyperlink" Id="rId123" Target="https://doi.org/10.1016/j.ijchp.2014.12.001" TargetMode="External" /><Relationship Type="http://schemas.openxmlformats.org/officeDocument/2006/relationships/hyperlink" Id="rId154" Target="https://doi.org/10.1016/j.isci.2024.109713" TargetMode="External" /><Relationship Type="http://schemas.openxmlformats.org/officeDocument/2006/relationships/hyperlink" Id="rId108" Target="https://doi.org/10.1038/s41746-025-01670-7" TargetMode="External" /><Relationship Type="http://schemas.openxmlformats.org/officeDocument/2006/relationships/hyperlink" Id="rId190" Target="https://doi.org/10.1038/s43856-025-01283-x" TargetMode="External" /><Relationship Type="http://schemas.openxmlformats.org/officeDocument/2006/relationships/hyperlink" Id="rId163" Target="https://doi.org/10.1038/s44277-024-00010-z" TargetMode="External" /><Relationship Type="http://schemas.openxmlformats.org/officeDocument/2006/relationships/hyperlink" Id="rId129" Target="https://doi.org/10.1046/j.1365-2648.2000.t01-1-01567.x" TargetMode="External" /><Relationship Type="http://schemas.openxmlformats.org/officeDocument/2006/relationships/hyperlink" Id="rId144" Target="https://doi.org/10.1046/j.1525-1497.2001.016009606.x" TargetMode="External" /><Relationship Type="http://schemas.openxmlformats.org/officeDocument/2006/relationships/hyperlink" Id="rId159" Target="https://doi.org/10.1080/00050067.2025.2547800" TargetMode="External" /><Relationship Type="http://schemas.openxmlformats.org/officeDocument/2006/relationships/hyperlink" Id="rId173" Target="https://doi.org/10.1080/13284207.2021.1923125" TargetMode="External" /><Relationship Type="http://schemas.openxmlformats.org/officeDocument/2006/relationships/hyperlink" Id="rId112" Target="https://doi.org/10.1111/bjop.12577" TargetMode="External" /><Relationship Type="http://schemas.openxmlformats.org/officeDocument/2006/relationships/hyperlink" Id="rId127" Target="https://doi.org/10.1159/000317532" TargetMode="External" /><Relationship Type="http://schemas.openxmlformats.org/officeDocument/2006/relationships/hyperlink" Id="rId125" Target="https://doi.org/10.1177/14757257221093490" TargetMode="External" /><Relationship Type="http://schemas.openxmlformats.org/officeDocument/2006/relationships/hyperlink" Id="rId116" Target="https://doi.org/10.1186/s12909-024-06399-7" TargetMode="External" /><Relationship Type="http://schemas.openxmlformats.org/officeDocument/2006/relationships/hyperlink" Id="rId175" Target="https://doi.org/10.1186/s12909-025-07668-9" TargetMode="External" /><Relationship Type="http://schemas.openxmlformats.org/officeDocument/2006/relationships/hyperlink" Id="rId177" Target="https://doi.org/10.1186/s40814-019-0493-7" TargetMode="External" /><Relationship Type="http://schemas.openxmlformats.org/officeDocument/2006/relationships/hyperlink" Id="rId185" Target="https://doi.org/10.1186/s41077-016-0035-9" TargetMode="External" /><Relationship Type="http://schemas.openxmlformats.org/officeDocument/2006/relationships/hyperlink" Id="rId179" Target="https://doi.org/10.13060/23362391.2013.127.2.41" TargetMode="External" /><Relationship Type="http://schemas.openxmlformats.org/officeDocument/2006/relationships/hyperlink" Id="rId183" Target="https://doi.org/10.18653/v1/2024.emnlp-main.711" TargetMode="External" /><Relationship Type="http://schemas.openxmlformats.org/officeDocument/2006/relationships/hyperlink" Id="rId146" Target="https://doi.org/10.18653/v1/2025.findings-acl.118" TargetMode="External" /><Relationship Type="http://schemas.openxmlformats.org/officeDocument/2006/relationships/hyperlink" Id="rId140" Target="https://doi.org/10.18653/v1/2025.findings-acl.1332" TargetMode="External" /><Relationship Type="http://schemas.openxmlformats.org/officeDocument/2006/relationships/hyperlink" Id="rId142" Target="https://doi.org/10.2196/14676" TargetMode="External" /><Relationship Type="http://schemas.openxmlformats.org/officeDocument/2006/relationships/hyperlink" Id="rId169" Target="https://doi.org/10.2196/59823" TargetMode="External" /><Relationship Type="http://schemas.openxmlformats.org/officeDocument/2006/relationships/hyperlink" Id="rId138" Target="https://doi.org/10.31887/DCNS.2008.10.3/shkennedy" TargetMode="External" /><Relationship Type="http://schemas.openxmlformats.org/officeDocument/2006/relationships/hyperlink" Id="rId110" Target="https://doi.org/10.3389/feduc.2021.653269" TargetMode="External" /><Relationship Type="http://schemas.openxmlformats.org/officeDocument/2006/relationships/hyperlink" Id="rId167" Target="https://doi.org/10.3389/feduc.2022.840258" TargetMode="External" /><Relationship Type="http://schemas.openxmlformats.org/officeDocument/2006/relationships/hyperlink" Id="rId114" Target="https://doi.org/10.3389/fpubh.2018.00149" TargetMode="External" /><Relationship Type="http://schemas.openxmlformats.org/officeDocument/2006/relationships/hyperlink" Id="rId135" Target="https://doi.org/10.3389/frvir.2022.827312" TargetMode="External" /><Relationship Type="http://schemas.openxmlformats.org/officeDocument/2006/relationships/hyperlink" Id="rId119" Target="https://doi.org/10.3390/nursrep14020107" TargetMode="External" /><Relationship Type="http://schemas.openxmlformats.org/officeDocument/2006/relationships/hyperlink" Id="rId121" Target="https://doi.org/10.4088/JCP.ot18043ah2" TargetMode="External" /><Relationship Type="http://schemas.openxmlformats.org/officeDocument/2006/relationships/hyperlink" Id="rId106" Target="https://doi.org/10.4103/ipj.ipj_377_24" TargetMode="External" /><Relationship Type="http://schemas.openxmlformats.org/officeDocument/2006/relationships/hyperlink" Id="rId148" Target="https://doi.org/10.48550/arXiv.2404.13066" TargetMode="External" /><Relationship Type="http://schemas.openxmlformats.org/officeDocument/2006/relationships/hyperlink" Id="rId171" Target="https://doi.org/10.5480/15-1640" TargetMode="External" /><Relationship Type="http://schemas.openxmlformats.org/officeDocument/2006/relationships/hyperlink" Id="rId152" Target="https://doi.org/10.5817/TF2016-7-90" TargetMode="External" /><Relationship Type="http://schemas.openxmlformats.org/officeDocument/2006/relationships/hyperlink" Id="rId156"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65" Target="https://doi.org/10.1002/nur.20199" TargetMode="External" /><Relationship Type="http://schemas.openxmlformats.org/officeDocument/2006/relationships/hyperlink" Id="rId161" Target="https://doi.org/10.1002/sim.6546" TargetMode="External" /><Relationship Type="http://schemas.openxmlformats.org/officeDocument/2006/relationships/hyperlink" Id="rId150" Target="https://doi.org/10.1002/wps.20771" TargetMode="External" /><Relationship Type="http://schemas.openxmlformats.org/officeDocument/2006/relationships/hyperlink" Id="rId131" Target="https://doi.org/10.1007/s10742-016-0145-9" TargetMode="External" /><Relationship Type="http://schemas.openxmlformats.org/officeDocument/2006/relationships/hyperlink" Id="rId181" Target="https://doi.org/10.1007/s11136-018-1829-0" TargetMode="External" /><Relationship Type="http://schemas.openxmlformats.org/officeDocument/2006/relationships/hyperlink" Id="rId133" Target="https://doi.org/10.1016/S0165-0327(14)70004-7" TargetMode="External" /><Relationship Type="http://schemas.openxmlformats.org/officeDocument/2006/relationships/hyperlink" Id="rId123" Target="https://doi.org/10.1016/j.ijchp.2014.12.001" TargetMode="External" /><Relationship Type="http://schemas.openxmlformats.org/officeDocument/2006/relationships/hyperlink" Id="rId154" Target="https://doi.org/10.1016/j.isci.2024.109713" TargetMode="External" /><Relationship Type="http://schemas.openxmlformats.org/officeDocument/2006/relationships/hyperlink" Id="rId108" Target="https://doi.org/10.1038/s41746-025-01670-7" TargetMode="External" /><Relationship Type="http://schemas.openxmlformats.org/officeDocument/2006/relationships/hyperlink" Id="rId190" Target="https://doi.org/10.1038/s43856-025-01283-x" TargetMode="External" /><Relationship Type="http://schemas.openxmlformats.org/officeDocument/2006/relationships/hyperlink" Id="rId163" Target="https://doi.org/10.1038/s44277-024-00010-z" TargetMode="External" /><Relationship Type="http://schemas.openxmlformats.org/officeDocument/2006/relationships/hyperlink" Id="rId129" Target="https://doi.org/10.1046/j.1365-2648.2000.t01-1-01567.x" TargetMode="External" /><Relationship Type="http://schemas.openxmlformats.org/officeDocument/2006/relationships/hyperlink" Id="rId144" Target="https://doi.org/10.1046/j.1525-1497.2001.016009606.x" TargetMode="External" /><Relationship Type="http://schemas.openxmlformats.org/officeDocument/2006/relationships/hyperlink" Id="rId159" Target="https://doi.org/10.1080/00050067.2025.2547800" TargetMode="External" /><Relationship Type="http://schemas.openxmlformats.org/officeDocument/2006/relationships/hyperlink" Id="rId173" Target="https://doi.org/10.1080/13284207.2021.1923125" TargetMode="External" /><Relationship Type="http://schemas.openxmlformats.org/officeDocument/2006/relationships/hyperlink" Id="rId112" Target="https://doi.org/10.1111/bjop.12577" TargetMode="External" /><Relationship Type="http://schemas.openxmlformats.org/officeDocument/2006/relationships/hyperlink" Id="rId127" Target="https://doi.org/10.1159/000317532" TargetMode="External" /><Relationship Type="http://schemas.openxmlformats.org/officeDocument/2006/relationships/hyperlink" Id="rId125" Target="https://doi.org/10.1177/14757257221093490" TargetMode="External" /><Relationship Type="http://schemas.openxmlformats.org/officeDocument/2006/relationships/hyperlink" Id="rId116" Target="https://doi.org/10.1186/s12909-024-06399-7" TargetMode="External" /><Relationship Type="http://schemas.openxmlformats.org/officeDocument/2006/relationships/hyperlink" Id="rId175" Target="https://doi.org/10.1186/s12909-025-07668-9" TargetMode="External" /><Relationship Type="http://schemas.openxmlformats.org/officeDocument/2006/relationships/hyperlink" Id="rId177" Target="https://doi.org/10.1186/s40814-019-0493-7" TargetMode="External" /><Relationship Type="http://schemas.openxmlformats.org/officeDocument/2006/relationships/hyperlink" Id="rId185" Target="https://doi.org/10.1186/s41077-016-0035-9" TargetMode="External" /><Relationship Type="http://schemas.openxmlformats.org/officeDocument/2006/relationships/hyperlink" Id="rId179" Target="https://doi.org/10.13060/23362391.2013.127.2.41" TargetMode="External" /><Relationship Type="http://schemas.openxmlformats.org/officeDocument/2006/relationships/hyperlink" Id="rId183" Target="https://doi.org/10.18653/v1/2024.emnlp-main.711" TargetMode="External" /><Relationship Type="http://schemas.openxmlformats.org/officeDocument/2006/relationships/hyperlink" Id="rId146" Target="https://doi.org/10.18653/v1/2025.findings-acl.118" TargetMode="External" /><Relationship Type="http://schemas.openxmlformats.org/officeDocument/2006/relationships/hyperlink" Id="rId140" Target="https://doi.org/10.18653/v1/2025.findings-acl.1332" TargetMode="External" /><Relationship Type="http://schemas.openxmlformats.org/officeDocument/2006/relationships/hyperlink" Id="rId142" Target="https://doi.org/10.2196/14676" TargetMode="External" /><Relationship Type="http://schemas.openxmlformats.org/officeDocument/2006/relationships/hyperlink" Id="rId169" Target="https://doi.org/10.2196/59823" TargetMode="External" /><Relationship Type="http://schemas.openxmlformats.org/officeDocument/2006/relationships/hyperlink" Id="rId138" Target="https://doi.org/10.31887/DCNS.2008.10.3/shkennedy" TargetMode="External" /><Relationship Type="http://schemas.openxmlformats.org/officeDocument/2006/relationships/hyperlink" Id="rId110" Target="https://doi.org/10.3389/feduc.2021.653269" TargetMode="External" /><Relationship Type="http://schemas.openxmlformats.org/officeDocument/2006/relationships/hyperlink" Id="rId167" Target="https://doi.org/10.3389/feduc.2022.840258" TargetMode="External" /><Relationship Type="http://schemas.openxmlformats.org/officeDocument/2006/relationships/hyperlink" Id="rId114" Target="https://doi.org/10.3389/fpubh.2018.00149" TargetMode="External" /><Relationship Type="http://schemas.openxmlformats.org/officeDocument/2006/relationships/hyperlink" Id="rId135" Target="https://doi.org/10.3389/frvir.2022.827312" TargetMode="External" /><Relationship Type="http://schemas.openxmlformats.org/officeDocument/2006/relationships/hyperlink" Id="rId119" Target="https://doi.org/10.3390/nursrep14020107" TargetMode="External" /><Relationship Type="http://schemas.openxmlformats.org/officeDocument/2006/relationships/hyperlink" Id="rId121" Target="https://doi.org/10.4088/JCP.ot18043ah2" TargetMode="External" /><Relationship Type="http://schemas.openxmlformats.org/officeDocument/2006/relationships/hyperlink" Id="rId106" Target="https://doi.org/10.4103/ipj.ipj_377_24" TargetMode="External" /><Relationship Type="http://schemas.openxmlformats.org/officeDocument/2006/relationships/hyperlink" Id="rId148" Target="https://doi.org/10.48550/arXiv.2404.13066" TargetMode="External" /><Relationship Type="http://schemas.openxmlformats.org/officeDocument/2006/relationships/hyperlink" Id="rId171" Target="https://doi.org/10.5480/15-1640" TargetMode="External" /><Relationship Type="http://schemas.openxmlformats.org/officeDocument/2006/relationships/hyperlink" Id="rId152" Target="https://doi.org/10.5817/TF2016-7-90" TargetMode="External" /><Relationship Type="http://schemas.openxmlformats.org/officeDocument/2006/relationships/hyperlink" Id="rId156"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2026-04-21T17:49:12Z</dcterms:created>
  <dcterms:modified xsi:type="dcterms:W3CDTF">2026-04-21T17:49:12Z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references/zotero-thesis.bib</vt:lpwstr>
  </property>
  <property fmtid="{D5CDD505-2E9C-101B-9397-08002B2CF9AE}" pid="3" name="csl">
    <vt:lpwstr>/Users/pavol.bielik/Zotero/styles/apa.csl</vt:lpwstr>
  </property>
  <property fmtid="{D5CDD505-2E9C-101B-9397-08002B2CF9AE}" pid="4" name="link-citations">
    <vt:lpwstr>True</vt:lpwstr>
  </property>
</Properties>
</file>