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jc w:val="center"/>
        <w:spacing w:after="180" w:line="276" w:lineRule="auto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Testovací preview výsledkových tabuliek</w:t>
      </w:r>
    </w:p>
    <w:p>
      <w:pPr>
        <w:jc w:val="left"/>
        <w:spacing w:after="22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>Toto je nový natívny DOCX preview build so štýlovým presetom `pevš-final-preview`. Tabuľky sú užšie než textový blok, používajú Times New Roman, len horizontálne čiary a caption systém podľa lokálneho sprievodcu.</w:t>
      </w:r>
    </w:p>
    <w:p>
      <w:pPr>
        <w:jc w:val="left"/>
        <w:ind w:left="1013" w:right="1013"/>
        <w:spacing w:after="70" w:line="276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Tabuľka 1</w:t>
      </w:r>
    </w:p>
    <w:p>
      <w:pPr>
        <w:jc w:val="left"/>
        <w:ind w:left="1013" w:right="1013"/>
        <w:spacing w:after="80" w:line="276" w:lineRule="auto"/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Základná charakteristika datasetu</w:t>
      </w:r>
    </w:p>
    <w:tbl>
      <w:tblPr>
        <w:tblW w:w="7000" w:type="dxa"/>
        <w:jc w:val="center"/>
        <w:tblLayout w:type="fixed"/>
        <w:tblCellMar>
          <w:top w:w="35" w:type="dxa"/>
          <w:left w:w="90" w:type="dxa"/>
          <w:bottom w:w="35" w:type="dxa"/>
          <w:right w:w="9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400"/>
        <w:gridCol w:w="2600"/>
      </w:tblGrid>
      <w:tr>
        <w:tc>
          <w:tcPr>
            <w:tcW w:w="44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Ukazovateľ</w:t>
            </w:r>
          </w:p>
        </w:tc>
        <w:tc>
          <w:tcPr>
            <w:tcW w:w="26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Hodnota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Zdroj dát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Vyčistené dáta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Počet hodnotiteľov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Počet prepisov rozhovorov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72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Počet seedov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Počet hodnotení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199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Priemerný počet hodnotení na prepis rozhovoru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2.764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Minimálny počet hodnotení na prepis rozhovoru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Maximálny počet hodnotení na prepis rozhovoru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Spôsob výpočtu chyby závažnosti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Priama absolútna chyba na škále 1-5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Počet hodnotení v G0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118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Počet hodnotení v G1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81</w:t>
            </w:r>
          </w:p>
        </w:tc>
      </w:tr>
      <w:tr>
        <w:tc>
          <w:tcPr>
            <w:tcW w:w="44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Počet hodnotení pre P1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78</w:t>
            </w:r>
          </w:p>
        </w:tc>
      </w:tr>
    </w:tbl>
    <w:p>
      <w:pPr>
        <w:jc w:val="left"/>
        <w:spacing w:after="210" w:line="276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left"/>
        <w:ind w:left="213" w:right="213"/>
        <w:spacing w:after="70" w:line="276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Tabuľka 2</w:t>
      </w:r>
    </w:p>
    <w:p>
      <w:pPr>
        <w:jc w:val="left"/>
        <w:ind w:left="213" w:right="213"/>
        <w:spacing w:after="80" w:line="276" w:lineRule="auto"/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Vnútorná konzistencia ratingových blokov</w:t>
      </w:r>
    </w:p>
    <w:tbl>
      <w:tblPr>
        <w:tblW w:w="8600" w:type="dxa"/>
        <w:jc w:val="center"/>
        <w:tblLayout w:type="fixed"/>
        <w:tblCellMar>
          <w:top w:w="35" w:type="dxa"/>
          <w:left w:w="90" w:type="dxa"/>
          <w:bottom w:w="35" w:type="dxa"/>
          <w:right w:w="9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600"/>
        <w:gridCol w:w="900"/>
        <w:gridCol w:w="900"/>
        <w:gridCol w:w="1000"/>
        <w:gridCol w:w="1100"/>
        <w:gridCol w:w="900"/>
        <w:gridCol w:w="2200"/>
      </w:tblGrid>
      <w:tr>
        <w:tc>
          <w:tcPr>
            <w:tcW w:w="26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Blok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Počet položiek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Počet riadkov</w:t>
            </w:r>
          </w:p>
        </w:tc>
        <w:tc>
          <w:tcPr>
            <w:tcW w:w="10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Cronbachovo α</w:t>
            </w:r>
          </w:p>
        </w:tc>
        <w:tc>
          <w:tcPr>
            <w:tcW w:w="11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McDonaldovo ω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Stav</w:t>
            </w:r>
          </w:p>
        </w:tc>
        <w:tc>
          <w:tcPr>
            <w:tcW w:w="22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Poznámka</w:t>
            </w:r>
          </w:p>
        </w:tc>
      </w:tr>
      <w:t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Blok G1-G5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199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0.843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0.854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Jadro indexu klinickej vierohodnosti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199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0.772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0.779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26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Blok R1-R5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199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0.741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0.76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</w:tr>
    </w:tbl>
    <w:p>
      <w:pPr>
        <w:jc w:val="left"/>
        <w:spacing w:after="180" w:line="240" w:lineRule="auto"/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Poznámka. </w:t>
      </w:r>
      <w:r>
        <w:rPr>
          <w:rFonts w:ascii="Times New Roman" w:hAnsi="Times New Roman" w:cs="Times New Roman"/>
          <w:sz w:val="18"/>
          <w:szCs w:val="18"/>
        </w:rPr>
        <w:t xml:space="preserve">α = Cronbachovo α; ω = McDonaldovo ω. Koeficienty v tomto preview vychádzajú z veľmi malej pilotnej vzorky, preto ich treba čítať len orientačne.</w:t>
      </w:r>
    </w:p>
    <w:p>
      <w:pPr>
        <w:jc w:val="left"/>
        <w:ind w:left="213" w:right="213"/>
        <w:spacing w:after="70" w:line="276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Tabuľka 3</w:t>
      </w:r>
    </w:p>
    <w:p>
      <w:pPr>
        <w:jc w:val="left"/>
        <w:ind w:left="213" w:right="213"/>
        <w:spacing w:after="80" w:line="276" w:lineRule="auto"/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Interrater reliabilita hlavných outcome-ov</w:t>
      </w:r>
    </w:p>
    <w:tbl>
      <w:tblPr>
        <w:tblW w:w="8600" w:type="dxa"/>
        <w:jc w:val="center"/>
        <w:tblLayout w:type="fixed"/>
        <w:tblCellMar>
          <w:top w:w="35" w:type="dxa"/>
          <w:left w:w="90" w:type="dxa"/>
          <w:bottom w:w="35" w:type="dxa"/>
          <w:right w:w="9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400"/>
        <w:gridCol w:w="1000"/>
        <w:gridCol w:w="900"/>
        <w:gridCol w:w="900"/>
        <w:gridCol w:w="900"/>
        <w:gridCol w:w="1000"/>
        <w:gridCol w:w="1500"/>
      </w:tblGrid>
      <w:tr>
        <w:tc>
          <w:tcPr>
            <w:tcW w:w="24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Ukazovateľ</w:t>
            </w:r>
          </w:p>
        </w:tc>
        <w:tc>
          <w:tcPr>
            <w:tcW w:w="10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Typ ICC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Odhad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95 % CI dolná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95 % CI horná</w:t>
            </w:r>
          </w:p>
        </w:tc>
        <w:tc>
          <w:tcPr>
            <w:tcW w:w="10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Stav</w:t>
            </w:r>
          </w:p>
        </w:tc>
        <w:tc>
          <w:tcPr>
            <w:tcW w:w="15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Poznámka</w:t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Kompozit klinickej vierohodnosti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ICC2K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Kompozit defektov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ICC2K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Ľudský odhad celkovej závažnosti depresívnej symptomatiky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ICC2K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Ľudský odhad funkčného dopadu na bežné fungovanie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ICC2K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W w:w="10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</w:tr>
    </w:tbl>
    <w:p>
      <w:pPr>
        <w:jc w:val="left"/>
        <w:spacing w:after="180" w:line="240" w:lineRule="auto"/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Poznámka. </w:t>
      </w:r>
      <w:r>
        <w:rPr>
          <w:rFonts w:ascii="Times New Roman" w:hAnsi="Times New Roman" w:cs="Times New Roman"/>
          <w:sz w:val="18"/>
          <w:szCs w:val="18"/>
        </w:rPr>
        <w:t xml:space="preserve">ICC = intratriedna korelácia; CI = interval spoľahlivosti. Odhady sú v tomto preview preskočené, pretože pilotné dáta zatiaľ neobsahujú aspoň dvoch hodnotiteľov pre aspoň dva transkripty.</w:t>
      </w:r>
    </w:p>
    <w:p>
      <w:pPr>
        <w:jc w:val="left"/>
        <w:ind w:left="313" w:right="313"/>
        <w:spacing w:after="70" w:line="276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Tabuľka 4</w:t>
      </w:r>
    </w:p>
    <w:p>
      <w:pPr>
        <w:jc w:val="left"/>
        <w:ind w:left="313" w:right="313"/>
        <w:spacing w:after="80" w:line="276" w:lineRule="auto"/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Súhrn jadrových zmiešaných modelov</w:t>
      </w:r>
    </w:p>
    <w:tbl>
      <w:tblPr>
        <w:tblW w:w="8400" w:type="dxa"/>
        <w:jc w:val="center"/>
        <w:tblLayout w:type="fixed"/>
        <w:tblCellMar>
          <w:top w:w="35" w:type="dxa"/>
          <w:left w:w="90" w:type="dxa"/>
          <w:bottom w:w="35" w:type="dxa"/>
          <w:right w:w="9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800"/>
        <w:gridCol w:w="1100"/>
        <w:gridCol w:w="1000"/>
        <w:gridCol w:w="1000"/>
        <w:gridCol w:w="1000"/>
        <w:gridCol w:w="1500"/>
      </w:tblGrid>
      <w:tr>
        <w:tc>
          <w:tcPr>
            <w:tcW w:w="28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Ukazovateľ</w:t>
            </w:r>
          </w:p>
        </w:tc>
        <w:tc>
          <w:tcPr>
            <w:tcW w:w="11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w="10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Odhad</w:t>
            </w:r>
          </w:p>
        </w:tc>
        <w:tc>
          <w:tcPr>
            <w:tcW w:w="10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95 % CI dolná</w:t>
            </w:r>
          </w:p>
        </w:tc>
        <w:tc>
          <w:tcPr>
            <w:tcW w:w="10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95 % CI horná</w:t>
            </w:r>
          </w:p>
        </w:tc>
        <w:tc>
          <w:tcPr>
            <w:tcW w:w="15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Stav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Kompozit klinickej vierohodnosti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3.803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3.399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4.207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Kompozit klinickej vierohodnosti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0.028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-0.154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0.211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Kompozit klinickej vierohodnosti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-0.016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-0.193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0.16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Kompozit klinickej vierohodnosti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-0.007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-0.183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0.17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Kompozit klinickej vierohodnosti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0.024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-0.247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0.296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Kompozit klinickej vierohodnosti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0.019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-0.25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0.289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Kompozit defektov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2.155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1.792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2.519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</w:tr>
      <w:tr>
        <w:tc>
          <w:tcPr>
            <w:tcW w:w="28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Kompozit defektov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LMM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-0.131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-0.305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righ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0.043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OK</w:t>
            </w:r>
          </w:p>
        </w:tc>
      </w:tr>
    </w:tbl>
    <w:p>
      <w:pPr>
        <w:jc w:val="left"/>
        <w:spacing w:after="180" w:line="240" w:lineRule="auto"/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Poznámka. </w:t>
      </w:r>
      <w:r>
        <w:rPr>
          <w:rFonts w:ascii="Times New Roman" w:hAnsi="Times New Roman" w:cs="Times New Roman"/>
          <w:sz w:val="18"/>
          <w:szCs w:val="18"/>
        </w:rPr>
        <w:t xml:space="preserve">LMM = lineárny zmiešaný model; CLMM = kumulatívny link mixed model; CI = interval spoľahlivosti. Modely sú v tomto preview preskočené pre nedostatočný počet riadkov alebo úrovní faktorov.</w:t>
      </w:r>
    </w:p>
    <w:p>
      <w:pPr>
        <w:jc w:val="left"/>
        <w:ind w:left="13" w:right="13"/>
        <w:spacing w:after="70" w:line="276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Tabuľka 5</w:t>
      </w:r>
    </w:p>
    <w:p>
      <w:pPr>
        <w:jc w:val="left"/>
        <w:ind w:left="13" w:right="13"/>
        <w:spacing w:after="80" w:line="276" w:lineRule="auto"/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Predbežná expertná kontrola položiek ratingového nástroja</w:t>
      </w:r>
    </w:p>
    <w:tbl>
      <w:tblPr>
        <w:tblW w:w="9000" w:type="dxa"/>
        <w:jc w:val="center"/>
        <w:tblLayout w:type="fixed"/>
        <w:tblCellMar>
          <w:top w:w="35" w:type="dxa"/>
          <w:left w:w="90" w:type="dxa"/>
          <w:bottom w:w="35" w:type="dxa"/>
          <w:right w:w="9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700"/>
        <w:gridCol w:w="2600"/>
        <w:gridCol w:w="900"/>
        <w:gridCol w:w="900"/>
        <w:gridCol w:w="900"/>
        <w:gridCol w:w="950"/>
        <w:gridCol w:w="950"/>
        <w:gridCol w:w="1100"/>
      </w:tblGrid>
      <w:tr>
        <w:tc>
          <w:tcPr>
            <w:tcW w:w="7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Kód</w:t>
            </w:r>
          </w:p>
        </w:tc>
        <w:tc>
          <w:tcPr>
            <w:tcW w:w="26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Položka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Relevantnosť M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Zrozumiteľnosť M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Potrebnosť M</w:t>
            </w:r>
          </w:p>
        </w:tc>
        <w:tc>
          <w:tcPr>
            <w:tcW w:w="95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Celkový priemer M</w:t>
            </w:r>
          </w:p>
        </w:tc>
        <w:tc>
          <w:tcPr>
            <w:tcW w:w="95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Podpora 3-4 (%)</w:t>
            </w:r>
          </w:p>
        </w:tc>
        <w:tc>
          <w:tcPr>
            <w:tcW w:w="11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Potrebný follow-up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R5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Neprimeraná dramatizácia alebo neprirodzená expresivita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2.78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66.7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áno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R2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Klišé alebo šablónovité odpovede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2.94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61.1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áno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R3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Nesúlad medzi kontextom a symptomatikou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3.06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66.7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áno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R1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Prítomnosť vnútorných kontradikcií v rozhovore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3.28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77.8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áno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G3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Vnútorná konzistentnosť rozhovoru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3.5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3.39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88.9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R4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Podozrenie na inú primárnu psychopatológiu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3.83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3.56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88.9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G5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Použiteľnosť rozhovoru na tréningové / výučbové účely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3.5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3.61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88.9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S1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Odhad celkovej závažnosti depresívnej symptomatiky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94.4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S2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Odhad funkčného dopadu na bežné fungovanie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3.83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94.4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G1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Klinická vierohodnosť rozhovoru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3.83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3.72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88.9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G2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Prirodzenosť jazyka a štýlu odpovedí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3.83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3.72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94.4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nie</w:t>
            </w:r>
          </w:p>
        </w:tc>
      </w:tr>
      <w:tr>
        <w:tc>
          <w:tcPr>
            <w:tcW w:w="7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G4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Súlad rozhovoru s obrazom depresívnej symptomatiky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3.5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3.83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3.83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3.72</w:t>
            </w:r>
          </w:p>
        </w:tc>
        <w:tc>
          <w:tcPr>
            <w:tcW w:w="95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94.4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nie</w:t>
            </w:r>
          </w:p>
        </w:tc>
      </w:tr>
    </w:tbl>
    <w:p>
      <w:pPr>
        <w:jc w:val="left"/>
        <w:spacing w:after="180" w:line="240" w:lineRule="auto"/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Poznámka. </w:t>
      </w:r>
      <w:r>
        <w:rPr>
          <w:rFonts w:ascii="Times New Roman" w:hAnsi="Times New Roman" w:cs="Times New Roman"/>
          <w:sz w:val="18"/>
          <w:szCs w:val="18"/>
        </w:rPr>
        <w:t xml:space="preserve">Vyššie skóre znamená priaznivejšie expertné posúdenie položky. Follow-up označuje položky, pri ktorých experti častejšie odporúčali ďalšie dolaďovanie formulácie.</w:t>
      </w:r>
    </w:p>
    <w:p>
      <w:pPr>
        <w:jc w:val="left"/>
        <w:spacing w:after="70" w:line="276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Tabuľka 6</w:t>
      </w:r>
    </w:p>
    <w:p>
      <w:pPr>
        <w:jc w:val="left"/>
        <w:spacing w:after="80" w:line="276" w:lineRule="auto"/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Predbežná expertná kontrola seed scenárov</w:t>
      </w:r>
    </w:p>
    <w:tbl>
      <w:tblPr>
        <w:tblW w:w="9300" w:type="dxa"/>
        <w:jc w:val="center"/>
        <w:tblLayout w:type="fixed"/>
        <w:tblCellMar>
          <w:top w:w="35" w:type="dxa"/>
          <w:left w:w="90" w:type="dxa"/>
          <w:bottom w:w="35" w:type="dxa"/>
          <w:right w:w="9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00"/>
        <w:gridCol w:w="2500"/>
        <w:gridCol w:w="850"/>
        <w:gridCol w:w="900"/>
        <w:gridCol w:w="850"/>
        <w:gridCol w:w="900"/>
        <w:gridCol w:w="950"/>
        <w:gridCol w:w="1100"/>
        <w:gridCol w:w="750"/>
      </w:tblGrid>
      <w:tr>
        <w:tc>
          <w:tcPr>
            <w:tcW w:w="5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Seed</w:t>
            </w:r>
          </w:p>
        </w:tc>
        <w:tc>
          <w:tcPr>
            <w:tcW w:w="25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Scenár</w:t>
            </w:r>
          </w:p>
        </w:tc>
        <w:tc>
          <w:tcPr>
            <w:tcW w:w="85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Celkový priemer M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Dostatok informácií M</w:t>
            </w:r>
          </w:p>
        </w:tc>
        <w:tc>
          <w:tcPr>
            <w:tcW w:w="85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Nestereotypnosť M</w:t>
            </w:r>
          </w:p>
        </w:tc>
        <w:tc>
          <w:tcPr>
            <w:tcW w:w="9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Vhodnosť pre výskum M</w:t>
            </w:r>
          </w:p>
        </w:tc>
        <w:tc>
          <w:tcPr>
            <w:tcW w:w="95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Cieľová závažnosť</w:t>
            </w:r>
          </w:p>
        </w:tc>
        <w:tc>
          <w:tcPr>
            <w:tcW w:w="110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Modálna expert. závažnosť</w:t>
            </w:r>
          </w:p>
        </w:tc>
        <w:tc>
          <w:tcPr>
            <w:tcW w:w="750" w:type="dxa"/>
            <w:tcBorders>
              <w:top w:val="single" w:sz="10" w:space="0" w:color="000000"/>
              <w:left w:val="nil"/>
              <w:bottom w:val="single" w:sz="8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Zhoda so závažnosťou (%)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Muž s vysokou pracovnou záťažou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2.93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Mladý muž so smennou prácou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2.98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83.3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Mladá žena s pracovno-študijným preťažením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2.98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2.5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83.3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Rozvedená žena s finančným tlakom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stredne ťažká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33.3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Muž s dlhou pracovnou záťažou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3.02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83.3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Muž s vysokou zodpovednosťou a utlmeným prežívaním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3.05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2.67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83.3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Žena v strednom veku s caregiving záťažou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stredne ťažká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stredne ťažká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66.7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Výkonovo zaťažená žena s rumináciami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3.12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stredne ťažká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Starší muž po strate rutiny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3.12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mierna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stredne ťažká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33.3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Muž s rutinou, stagnáciou a pasívnym A9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3.14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2.83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stredne ťažká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Staršia vdova so stratou rytmu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3.19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3.17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stredne ťažká</w:t>
            </w:r>
          </w:p>
        </w:tc>
        <w:tc>
          <w:tcPr>
            <w:tcW w:w="75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w="5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11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Žena s nízkym príjmom a sociálnym stiahnutím</w:t>
            </w:r>
          </w:p>
        </w:tc>
        <w:tc>
          <w:tcPr>
            <w:tcW w:w="85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3.21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85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3.33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skôr stredná</w:t>
            </w:r>
          </w:p>
        </w:tc>
        <w:tc>
          <w:tcPr>
            <w:tcW w:w="750" w:type="dxa"/>
            <w:tcBorders>
              <w:top w:val="nil"/>
              <w:left w:val="nil"/>
              <w:bottom w:val="single" w:sz="10" w:space="0" w:color="000000"/>
              <w:right w:val="nil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83.3</w:t>
            </w:r>
          </w:p>
        </w:tc>
      </w:tr>
    </w:tbl>
    <w:p>
      <w:pPr>
        <w:jc w:val="left"/>
        <w:spacing w:after="180" w:line="240" w:lineRule="auto"/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Poznámka. </w:t>
      </w:r>
      <w:r>
        <w:rPr>
          <w:rFonts w:ascii="Times New Roman" w:hAnsi="Times New Roman" w:cs="Times New Roman"/>
          <w:sz w:val="18"/>
          <w:szCs w:val="18"/>
        </w:rPr>
        <w:t xml:space="preserve">Zhoda so závažnosťou vyjadruje podiel expertov, ktorých odhad severity sa zhodol so zamýšľanou cieľovou úrovňou seedu.</w:t>
      </w:r>
    </w:p>
    <w:sectPr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sk-SK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