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>class Main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>{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public static int MinimumCost(int[][] c, int a, int b)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{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if (b==0 || a==0) {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return Integer.MAX_VALUE;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                  }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if (a==1 &amp;&amp; b==1) {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return c[0][0];</w:t>
      </w:r>
      <w:bookmarkStart w:id="0" w:name="_GoBack"/>
      <w:bookmarkEnd w:id="0"/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                  }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return Integer.min(MinimumCost(c, a - 1, b), MinimumCost(c, a,b - 1)) + c[a - 1][b - 1];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}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public static void main(String[] args) {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int[][] c = {{ 2, 4, 3, 4, 3 },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        { 7, 2, 5, 6, 7 },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        { 9, 2, 1, 2, 8 },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        { 5, 5, 8, 1, 3 },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             { 2, 7, 3, 2, 9 }};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System.out.print("Minimum cost of matrix = " + MinimumCost(c, c.length, c[0].length));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}</w:t>
      </w:r>
    </w:p>
    <w:p>
      <w:pP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i w:val="0"/>
          <w:iCs w:val="0"/>
          <w:sz w:val="20"/>
          <w:szCs w:val="20"/>
        </w:rPr>
        <w:t xml:space="preserve">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E4A4C"/>
    <w:rsid w:val="593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2019-10-13T19:14:00Z</dcterms:created>
  <dc:creator>gajju singh</dc:creator>
  <cp:lastModifiedBy>google1566102752</cp:lastModifiedBy>
  <dcterms:modified xsi:type="dcterms:W3CDTF">2019-10-13T19:15:56Z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