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5CB" w:rsidRPr="002C2026" w:rsidRDefault="003E55D5" w:rsidP="002C2026">
      <w:pPr>
        <w:pStyle w:val="Titel"/>
      </w:pPr>
      <w:r w:rsidRPr="002C2026">
        <w:t>Versuchstitel</w:t>
      </w:r>
      <w:r w:rsidR="00354218" w:rsidRPr="002C2026">
        <w:t>:</w:t>
      </w:r>
      <w:r w:rsidR="00BA2061">
        <w:t xml:space="preserve"> Plasmolyse</w:t>
      </w:r>
      <w:r w:rsidR="00953132">
        <w:t xml:space="preserve"> und Ermittlung der Grenzplasmolyse</w:t>
      </w:r>
    </w:p>
    <w:p w:rsidR="001320BD" w:rsidRDefault="00D27CB7" w:rsidP="00A037F6">
      <w:pPr>
        <w:pStyle w:val="berschrift1"/>
      </w:pPr>
      <w:r w:rsidRPr="007D7A54">
        <w:t>Ergebnisse</w:t>
      </w:r>
    </w:p>
    <w:p w:rsidR="00DC1067" w:rsidRDefault="00DC1067" w:rsidP="00E83E98">
      <w:pPr>
        <w:pStyle w:val="Beschriftung"/>
        <w:keepNext/>
      </w:pPr>
      <w:r>
        <w:t>Beispiel Rechnung für Anteil in Prozent:</w:t>
      </w:r>
    </w:p>
    <w:p w:rsidR="00DC1067" w:rsidRPr="00DC1067" w:rsidRDefault="00DC1067" w:rsidP="00DC1067">
      <m:oMathPara>
        <m:oMath>
          <m:r>
            <w:rPr>
              <w:rFonts w:ascii="Cambria Math" w:hAnsi="Cambria Math"/>
            </w:rPr>
            <m:t>Anteil=</m:t>
          </m:r>
          <m:f>
            <m:fPr>
              <m:ctrlPr>
                <w:rPr>
                  <w:rFonts w:ascii="Cambria Math" w:hAnsi="Cambria Math"/>
                  <w:i/>
                </w:rPr>
              </m:ctrlPr>
            </m:fPr>
            <m:num>
              <m:r>
                <w:rPr>
                  <w:rFonts w:ascii="Cambria Math" w:hAnsi="Cambria Math"/>
                </w:rPr>
                <m:t>100%*Anzahl gezählte Zellen</m:t>
              </m:r>
            </m:num>
            <m:den>
              <m:r>
                <w:rPr>
                  <w:rFonts w:ascii="Cambria Math" w:hAnsi="Cambria Math"/>
                </w:rPr>
                <m:t>Plasmolysierte Zellen</m:t>
              </m:r>
            </m:den>
          </m:f>
        </m:oMath>
      </m:oMathPara>
    </w:p>
    <w:p w:rsidR="00DC1067" w:rsidRPr="00DC1067" w:rsidRDefault="00DC1067" w:rsidP="00DC1067">
      <m:oMathPara>
        <m:oMath>
          <m:r>
            <w:rPr>
              <w:rFonts w:ascii="Cambria Math" w:hAnsi="Cambria Math"/>
            </w:rPr>
            <m:t>Anteil=</m:t>
          </m:r>
          <m:f>
            <m:fPr>
              <m:ctrlPr>
                <w:rPr>
                  <w:rFonts w:ascii="Cambria Math" w:hAnsi="Cambria Math"/>
                  <w:i/>
                </w:rPr>
              </m:ctrlPr>
            </m:fPr>
            <m:num>
              <m:r>
                <w:rPr>
                  <w:rFonts w:ascii="Cambria Math" w:hAnsi="Cambria Math"/>
                </w:rPr>
                <m:t>100%*30</m:t>
              </m:r>
            </m:num>
            <m:den>
              <m:r>
                <w:rPr>
                  <w:rFonts w:ascii="Cambria Math" w:hAnsi="Cambria Math"/>
                </w:rPr>
                <m:t>28</m:t>
              </m:r>
            </m:den>
          </m:f>
        </m:oMath>
      </m:oMathPara>
    </w:p>
    <w:p w:rsidR="00DC1067" w:rsidRPr="00DC1067" w:rsidRDefault="00DC1067" w:rsidP="00DC1067">
      <m:oMathPara>
        <m:oMath>
          <m:r>
            <w:rPr>
              <w:rFonts w:ascii="Cambria Math" w:hAnsi="Cambria Math"/>
            </w:rPr>
            <m:t>Anteil=93,3%</m:t>
          </m:r>
        </m:oMath>
      </m:oMathPara>
    </w:p>
    <w:p w:rsidR="00E83E98" w:rsidRDefault="00E83E98" w:rsidP="00E83E98">
      <w:pPr>
        <w:pStyle w:val="Beschriftung"/>
        <w:keepNext/>
      </w:pPr>
      <w:r>
        <w:t xml:space="preserve">Tabelle </w:t>
      </w:r>
      <w:fldSimple w:instr=" SEQ Tabelle \* ARABIC ">
        <w:r w:rsidR="00FE1CA7">
          <w:rPr>
            <w:noProof/>
          </w:rPr>
          <w:t>1</w:t>
        </w:r>
      </w:fldSimple>
      <w:r>
        <w:t>: Anteil der plasmolysierten Zellen der Zwiebel in verschiedenen Saccharose-Lösungen</w:t>
      </w:r>
    </w:p>
    <w:tbl>
      <w:tblPr>
        <w:tblW w:w="5000" w:type="pct"/>
        <w:tblCellMar>
          <w:left w:w="70" w:type="dxa"/>
          <w:right w:w="70" w:type="dxa"/>
        </w:tblCellMar>
        <w:tblLook w:val="04A0" w:firstRow="1" w:lastRow="0" w:firstColumn="1" w:lastColumn="0" w:noHBand="0" w:noVBand="1"/>
      </w:tblPr>
      <w:tblGrid>
        <w:gridCol w:w="1706"/>
        <w:gridCol w:w="2161"/>
        <w:gridCol w:w="4214"/>
        <w:gridCol w:w="1129"/>
      </w:tblGrid>
      <w:tr w:rsidR="00A037F6" w:rsidRPr="00A037F6" w:rsidTr="00E83E98">
        <w:trPr>
          <w:trHeight w:val="315"/>
        </w:trPr>
        <w:tc>
          <w:tcPr>
            <w:tcW w:w="92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rPr>
                <w:rFonts w:cs="Arial"/>
                <w:color w:val="000000"/>
                <w:szCs w:val="22"/>
                <w:lang w:eastAsia="ja-JP"/>
              </w:rPr>
            </w:pPr>
            <w:r w:rsidRPr="00A037F6">
              <w:rPr>
                <w:rFonts w:cs="Arial"/>
                <w:color w:val="000000"/>
                <w:szCs w:val="22"/>
                <w:lang w:eastAsia="ja-JP"/>
              </w:rPr>
              <w:t>Versuch</w:t>
            </w:r>
            <w:r w:rsidR="00774B26">
              <w:rPr>
                <w:rFonts w:cs="Arial"/>
                <w:color w:val="000000"/>
                <w:szCs w:val="22"/>
                <w:lang w:eastAsia="ja-JP"/>
              </w:rPr>
              <w:t xml:space="preserve"> Nr.</w:t>
            </w:r>
            <w:r w:rsidRPr="00A037F6">
              <w:rPr>
                <w:rFonts w:cs="Arial"/>
                <w:color w:val="000000"/>
                <w:szCs w:val="22"/>
                <w:lang w:eastAsia="ja-JP"/>
              </w:rPr>
              <w:t xml:space="preserve"> </w:t>
            </w:r>
          </w:p>
        </w:tc>
        <w:tc>
          <w:tcPr>
            <w:tcW w:w="1173" w:type="pct"/>
            <w:tcBorders>
              <w:top w:val="single" w:sz="8" w:space="0" w:color="auto"/>
              <w:left w:val="nil"/>
              <w:bottom w:val="single" w:sz="8" w:space="0" w:color="auto"/>
              <w:right w:val="single" w:sz="8" w:space="0" w:color="auto"/>
            </w:tcBorders>
            <w:shd w:val="clear" w:color="auto" w:fill="auto"/>
            <w:vAlign w:val="center"/>
            <w:hideMark/>
          </w:tcPr>
          <w:p w:rsidR="00A037F6" w:rsidRPr="00A037F6" w:rsidRDefault="00A037F6" w:rsidP="00A037F6">
            <w:pPr>
              <w:rPr>
                <w:rFonts w:cs="Arial"/>
                <w:color w:val="000000"/>
                <w:szCs w:val="22"/>
                <w:lang w:val="en-US" w:eastAsia="ja-JP"/>
              </w:rPr>
            </w:pPr>
            <w:r w:rsidRPr="00A037F6">
              <w:rPr>
                <w:rFonts w:cs="Arial"/>
                <w:color w:val="000000"/>
                <w:szCs w:val="22"/>
                <w:lang w:val="en-US" w:eastAsia="ja-JP"/>
              </w:rPr>
              <w:t>c(Saccharose) in mol/L</w:t>
            </w:r>
          </w:p>
        </w:tc>
        <w:tc>
          <w:tcPr>
            <w:tcW w:w="2288" w:type="pct"/>
            <w:tcBorders>
              <w:top w:val="single" w:sz="8" w:space="0" w:color="auto"/>
              <w:left w:val="nil"/>
              <w:bottom w:val="single" w:sz="8" w:space="0" w:color="auto"/>
              <w:right w:val="single" w:sz="8" w:space="0" w:color="auto"/>
            </w:tcBorders>
            <w:shd w:val="clear" w:color="auto" w:fill="auto"/>
            <w:vAlign w:val="center"/>
            <w:hideMark/>
          </w:tcPr>
          <w:p w:rsidR="00A037F6" w:rsidRPr="00A037F6" w:rsidRDefault="00A037F6" w:rsidP="00A037F6">
            <w:pPr>
              <w:rPr>
                <w:rFonts w:cs="Arial"/>
                <w:color w:val="000000"/>
                <w:szCs w:val="22"/>
                <w:lang w:eastAsia="ja-JP"/>
              </w:rPr>
            </w:pPr>
            <w:r w:rsidRPr="00A037F6">
              <w:rPr>
                <w:rFonts w:cs="Arial"/>
                <w:color w:val="000000"/>
                <w:szCs w:val="22"/>
                <w:lang w:eastAsia="ja-JP"/>
              </w:rPr>
              <w:t>Plasmolysierte Zellen (von 30 gezählten Zellen)</w:t>
            </w:r>
          </w:p>
        </w:tc>
        <w:tc>
          <w:tcPr>
            <w:tcW w:w="613" w:type="pct"/>
            <w:tcBorders>
              <w:top w:val="single" w:sz="8" w:space="0" w:color="auto"/>
              <w:left w:val="nil"/>
              <w:bottom w:val="single" w:sz="8" w:space="0" w:color="auto"/>
              <w:right w:val="single" w:sz="8" w:space="0" w:color="auto"/>
            </w:tcBorders>
            <w:shd w:val="clear" w:color="auto" w:fill="auto"/>
            <w:vAlign w:val="center"/>
            <w:hideMark/>
          </w:tcPr>
          <w:p w:rsidR="00A037F6" w:rsidRPr="00A037F6" w:rsidRDefault="00A037F6" w:rsidP="00A037F6">
            <w:pPr>
              <w:rPr>
                <w:rFonts w:cs="Arial"/>
                <w:color w:val="000000"/>
                <w:szCs w:val="22"/>
                <w:lang w:eastAsia="ja-JP"/>
              </w:rPr>
            </w:pPr>
            <w:r w:rsidRPr="00A037F6">
              <w:rPr>
                <w:rFonts w:cs="Arial"/>
                <w:color w:val="000000"/>
                <w:szCs w:val="22"/>
                <w:lang w:eastAsia="ja-JP"/>
              </w:rPr>
              <w:t xml:space="preserve">Anteil in </w:t>
            </w:r>
            <w:r>
              <w:rPr>
                <w:rFonts w:cs="Arial"/>
                <w:color w:val="000000"/>
                <w:szCs w:val="22"/>
                <w:lang w:eastAsia="ja-JP"/>
              </w:rPr>
              <w:t>Prozent</w:t>
            </w:r>
            <w:r w:rsidR="00051D71">
              <w:rPr>
                <w:rFonts w:cs="Arial"/>
                <w:color w:val="000000"/>
                <w:szCs w:val="22"/>
                <w:lang w:eastAsia="ja-JP"/>
              </w:rPr>
              <w:t xml:space="preserve"> </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1</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0,8</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28</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93,3</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2</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0,7</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28</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93,3</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3</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0,65</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27</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90,0</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4</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0,6</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24</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80,0</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5</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0,55</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23</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76,7</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6</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0,5</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18</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60,0</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7</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0,45</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15</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50,0</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8</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0,4</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10</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33,3</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9</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0,35</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5</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16,7</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10</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0,3</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2</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6,7</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11</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0,25</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1</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3,3</w:t>
            </w:r>
          </w:p>
        </w:tc>
      </w:tr>
      <w:tr w:rsidR="00A037F6" w:rsidRPr="00A037F6" w:rsidTr="00E83E98">
        <w:trPr>
          <w:trHeight w:val="315"/>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12</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0,2</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1</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3,3</w:t>
            </w:r>
          </w:p>
        </w:tc>
      </w:tr>
      <w:tr w:rsidR="00A037F6" w:rsidRPr="00A037F6" w:rsidTr="00E83E98">
        <w:trPr>
          <w:trHeight w:val="300"/>
        </w:trPr>
        <w:tc>
          <w:tcPr>
            <w:tcW w:w="926" w:type="pct"/>
            <w:tcBorders>
              <w:top w:val="nil"/>
              <w:left w:val="single" w:sz="8" w:space="0" w:color="auto"/>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13</w:t>
            </w:r>
          </w:p>
        </w:tc>
        <w:tc>
          <w:tcPr>
            <w:tcW w:w="117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0,1</w:t>
            </w:r>
          </w:p>
        </w:tc>
        <w:tc>
          <w:tcPr>
            <w:tcW w:w="2288"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w:t>
            </w:r>
          </w:p>
        </w:tc>
        <w:tc>
          <w:tcPr>
            <w:tcW w:w="613" w:type="pct"/>
            <w:tcBorders>
              <w:top w:val="nil"/>
              <w:left w:val="nil"/>
              <w:bottom w:val="single" w:sz="8" w:space="0" w:color="auto"/>
              <w:right w:val="single" w:sz="8" w:space="0" w:color="auto"/>
            </w:tcBorders>
            <w:shd w:val="clear" w:color="auto" w:fill="auto"/>
            <w:vAlign w:val="center"/>
            <w:hideMark/>
          </w:tcPr>
          <w:p w:rsidR="00A037F6" w:rsidRPr="00A037F6" w:rsidRDefault="00A037F6" w:rsidP="00A037F6">
            <w:pPr>
              <w:jc w:val="center"/>
              <w:rPr>
                <w:rFonts w:cs="Arial"/>
                <w:color w:val="000000"/>
                <w:szCs w:val="22"/>
                <w:lang w:eastAsia="ja-JP"/>
              </w:rPr>
            </w:pPr>
            <w:r w:rsidRPr="00A037F6">
              <w:rPr>
                <w:rFonts w:cs="Arial"/>
                <w:color w:val="000000"/>
                <w:szCs w:val="22"/>
                <w:lang w:eastAsia="ja-JP"/>
              </w:rPr>
              <w:t>0,0</w:t>
            </w:r>
          </w:p>
        </w:tc>
      </w:tr>
    </w:tbl>
    <w:p w:rsidR="00A44FB8" w:rsidRDefault="00A44FB8" w:rsidP="001929B1">
      <w:pPr>
        <w:pStyle w:val="Textkrper"/>
      </w:pPr>
    </w:p>
    <w:p w:rsidR="00A44FB8" w:rsidRDefault="00A44FB8" w:rsidP="00A44FB8">
      <w:r>
        <w:br w:type="page"/>
      </w:r>
    </w:p>
    <w:p w:rsidR="00FE1CA7" w:rsidRDefault="00FE1CA7" w:rsidP="00FE1CA7">
      <w:pPr>
        <w:pStyle w:val="Beschriftung"/>
        <w:keepNext/>
      </w:pPr>
      <w:r>
        <w:lastRenderedPageBreak/>
        <w:t xml:space="preserve">Tabelle </w:t>
      </w:r>
      <w:fldSimple w:instr=" SEQ Tabelle \* ARABIC ">
        <w:r>
          <w:rPr>
            <w:noProof/>
          </w:rPr>
          <w:t>2</w:t>
        </w:r>
      </w:fldSimple>
      <w:r>
        <w:t>: Anteil der plasmolysierten Zellen der Zwiebel in verschiedenen KNO</w:t>
      </w:r>
      <w:r>
        <w:rPr>
          <w:vertAlign w:val="subscript"/>
        </w:rPr>
        <w:t>3</w:t>
      </w:r>
      <w:r>
        <w:t>-Lösungen</w:t>
      </w:r>
    </w:p>
    <w:tbl>
      <w:tblPr>
        <w:tblStyle w:val="Tabellenraster"/>
        <w:tblW w:w="5000" w:type="pct"/>
        <w:tblLook w:val="04A0" w:firstRow="1" w:lastRow="0" w:firstColumn="1" w:lastColumn="0" w:noHBand="0" w:noVBand="1"/>
      </w:tblPr>
      <w:tblGrid>
        <w:gridCol w:w="1668"/>
        <w:gridCol w:w="2197"/>
        <w:gridCol w:w="4266"/>
        <w:gridCol w:w="1155"/>
      </w:tblGrid>
      <w:tr w:rsidR="00774B26" w:rsidRPr="00774B26" w:rsidTr="00774B26">
        <w:trPr>
          <w:trHeight w:val="390"/>
        </w:trPr>
        <w:tc>
          <w:tcPr>
            <w:tcW w:w="898" w:type="pct"/>
            <w:hideMark/>
          </w:tcPr>
          <w:p w:rsidR="00774B26" w:rsidRPr="00774B26" w:rsidRDefault="00774B26" w:rsidP="00774B26">
            <w:pPr>
              <w:rPr>
                <w:rFonts w:cs="Arial"/>
                <w:color w:val="000000"/>
                <w:szCs w:val="22"/>
                <w:lang w:eastAsia="ja-JP"/>
              </w:rPr>
            </w:pPr>
            <w:r w:rsidRPr="00774B26">
              <w:rPr>
                <w:rFonts w:cs="Arial"/>
                <w:color w:val="000000"/>
                <w:szCs w:val="22"/>
                <w:lang w:eastAsia="ja-JP"/>
              </w:rPr>
              <w:t>Versuch</w:t>
            </w:r>
            <w:r>
              <w:rPr>
                <w:rFonts w:cs="Arial"/>
                <w:color w:val="000000"/>
                <w:szCs w:val="22"/>
                <w:lang w:eastAsia="ja-JP"/>
              </w:rPr>
              <w:t xml:space="preserve"> Nr.</w:t>
            </w:r>
            <w:r w:rsidRPr="00774B26">
              <w:rPr>
                <w:rFonts w:cs="Arial"/>
                <w:color w:val="000000"/>
                <w:szCs w:val="22"/>
                <w:lang w:eastAsia="ja-JP"/>
              </w:rPr>
              <w:t xml:space="preserve"> </w:t>
            </w:r>
          </w:p>
        </w:tc>
        <w:tc>
          <w:tcPr>
            <w:tcW w:w="1183" w:type="pct"/>
            <w:hideMark/>
          </w:tcPr>
          <w:p w:rsidR="00774B26" w:rsidRPr="00774B26" w:rsidRDefault="00774B26" w:rsidP="00774B26">
            <w:pPr>
              <w:rPr>
                <w:rFonts w:cs="Arial"/>
                <w:color w:val="000000"/>
                <w:szCs w:val="22"/>
                <w:lang w:val="en-US" w:eastAsia="ja-JP"/>
              </w:rPr>
            </w:pPr>
            <w:r w:rsidRPr="00774B26">
              <w:rPr>
                <w:rFonts w:cs="Arial"/>
                <w:color w:val="000000"/>
                <w:szCs w:val="22"/>
                <w:lang w:val="en-US" w:eastAsia="ja-JP"/>
              </w:rPr>
              <w:t>c(KNO</w:t>
            </w:r>
            <w:r w:rsidRPr="00774B26">
              <w:rPr>
                <w:rFonts w:cs="Arial"/>
                <w:color w:val="000000"/>
                <w:szCs w:val="22"/>
                <w:vertAlign w:val="subscript"/>
                <w:lang w:val="en-US" w:eastAsia="ja-JP"/>
              </w:rPr>
              <w:t>3</w:t>
            </w:r>
            <w:r w:rsidRPr="00774B26">
              <w:rPr>
                <w:rFonts w:cs="Arial"/>
                <w:color w:val="000000"/>
                <w:szCs w:val="22"/>
                <w:lang w:val="en-US" w:eastAsia="ja-JP"/>
              </w:rPr>
              <w:t>) in mol/L</w:t>
            </w:r>
          </w:p>
        </w:tc>
        <w:tc>
          <w:tcPr>
            <w:tcW w:w="2297" w:type="pct"/>
            <w:hideMark/>
          </w:tcPr>
          <w:p w:rsidR="00774B26" w:rsidRPr="00774B26" w:rsidRDefault="00774B26" w:rsidP="00774B26">
            <w:pPr>
              <w:rPr>
                <w:rFonts w:cs="Arial"/>
                <w:color w:val="000000"/>
                <w:szCs w:val="22"/>
                <w:lang w:eastAsia="ja-JP"/>
              </w:rPr>
            </w:pPr>
            <w:r w:rsidRPr="00774B26">
              <w:rPr>
                <w:rFonts w:cs="Arial"/>
                <w:color w:val="000000"/>
                <w:szCs w:val="22"/>
                <w:lang w:eastAsia="ja-JP"/>
              </w:rPr>
              <w:t>Plasmolysierte Zellen (von 30 gezählten Zellen)</w:t>
            </w:r>
          </w:p>
        </w:tc>
        <w:tc>
          <w:tcPr>
            <w:tcW w:w="622" w:type="pct"/>
            <w:hideMark/>
          </w:tcPr>
          <w:p w:rsidR="00774B26" w:rsidRPr="00774B26" w:rsidRDefault="00774B26" w:rsidP="00774B26">
            <w:pPr>
              <w:rPr>
                <w:rFonts w:cs="Arial"/>
                <w:color w:val="000000"/>
                <w:szCs w:val="22"/>
                <w:lang w:eastAsia="ja-JP"/>
              </w:rPr>
            </w:pPr>
            <w:r w:rsidRPr="00774B26">
              <w:rPr>
                <w:rFonts w:cs="Arial"/>
                <w:color w:val="000000"/>
                <w:szCs w:val="22"/>
                <w:lang w:eastAsia="ja-JP"/>
              </w:rPr>
              <w:t xml:space="preserve">Anteil in </w:t>
            </w:r>
            <w:r>
              <w:rPr>
                <w:rFonts w:cs="Arial"/>
                <w:color w:val="000000"/>
                <w:szCs w:val="22"/>
                <w:lang w:eastAsia="ja-JP"/>
              </w:rPr>
              <w:t>Prozent</w:t>
            </w:r>
            <w:r w:rsidR="00051D71">
              <w:rPr>
                <w:rFonts w:cs="Arial"/>
                <w:color w:val="000000"/>
                <w:szCs w:val="22"/>
                <w:lang w:eastAsia="ja-JP"/>
              </w:rPr>
              <w:t xml:space="preserve"> </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1</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0,8</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27</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90,0</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2</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0,7</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24</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80,0</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3</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0,65</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23</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76,7</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4</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0,6</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21</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70,0</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5</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0,55</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21</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70,0</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6</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0,5</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18</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60,0</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7</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0,45</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15</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50,0</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8</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0,4</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14</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46,7</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9</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0,35</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7</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23,3</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10</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0,3</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5</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16,7</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11</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0,25</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3</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10,0</w:t>
            </w:r>
          </w:p>
        </w:tc>
      </w:tr>
      <w:tr w:rsidR="00774B26" w:rsidRPr="00774B26" w:rsidTr="00774B26">
        <w:trPr>
          <w:trHeight w:val="315"/>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12</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0,2</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1</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3,3</w:t>
            </w:r>
          </w:p>
        </w:tc>
      </w:tr>
      <w:tr w:rsidR="00774B26" w:rsidRPr="00774B26" w:rsidTr="00774B26">
        <w:trPr>
          <w:trHeight w:val="300"/>
        </w:trPr>
        <w:tc>
          <w:tcPr>
            <w:tcW w:w="898"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13</w:t>
            </w:r>
          </w:p>
        </w:tc>
        <w:tc>
          <w:tcPr>
            <w:tcW w:w="1183"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0,1</w:t>
            </w:r>
          </w:p>
        </w:tc>
        <w:tc>
          <w:tcPr>
            <w:tcW w:w="2297"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w:t>
            </w:r>
          </w:p>
        </w:tc>
        <w:tc>
          <w:tcPr>
            <w:tcW w:w="622" w:type="pct"/>
            <w:hideMark/>
          </w:tcPr>
          <w:p w:rsidR="00774B26" w:rsidRPr="00774B26" w:rsidRDefault="00774B26" w:rsidP="00774B26">
            <w:pPr>
              <w:jc w:val="center"/>
              <w:rPr>
                <w:rFonts w:cs="Arial"/>
                <w:color w:val="000000"/>
                <w:szCs w:val="22"/>
                <w:lang w:eastAsia="ja-JP"/>
              </w:rPr>
            </w:pPr>
            <w:r w:rsidRPr="00774B26">
              <w:rPr>
                <w:rFonts w:cs="Arial"/>
                <w:color w:val="000000"/>
                <w:szCs w:val="22"/>
                <w:lang w:eastAsia="ja-JP"/>
              </w:rPr>
              <w:t>0,0</w:t>
            </w:r>
          </w:p>
        </w:tc>
      </w:tr>
    </w:tbl>
    <w:p w:rsidR="00A44FB8" w:rsidRDefault="00A44FB8" w:rsidP="003B267A">
      <w:pPr>
        <w:pStyle w:val="Textkrper"/>
        <w:keepNext/>
      </w:pPr>
    </w:p>
    <w:p w:rsidR="003B267A" w:rsidRDefault="00051D71" w:rsidP="003B267A">
      <w:pPr>
        <w:pStyle w:val="Textkrper"/>
        <w:keepNext/>
      </w:pPr>
      <w:r>
        <w:rPr>
          <w:noProof/>
        </w:rPr>
        <w:drawing>
          <wp:inline distT="0" distB="0" distL="0" distR="0" wp14:anchorId="5FE9928B" wp14:editId="0241224C">
            <wp:extent cx="5274259" cy="3255264"/>
            <wp:effectExtent l="0" t="0" r="3175" b="2540"/>
            <wp:docPr id="2" name="Diagramm 2">
              <a:extLst xmlns:a="http://schemas.openxmlformats.org/drawingml/2006/main">
                <a:ext uri="{FF2B5EF4-FFF2-40B4-BE49-F238E27FC236}">
                  <a16:creationId xmlns:a16="http://schemas.microsoft.com/office/drawing/2014/main" id="{611FEA39-9B5B-46D1-9B7C-E515D935D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320BD" w:rsidRDefault="003B267A" w:rsidP="00177864">
      <w:pPr>
        <w:pStyle w:val="Beschriftung"/>
      </w:pPr>
      <w:r>
        <w:t xml:space="preserve">Abbildung </w:t>
      </w:r>
      <w:fldSimple w:instr=" SEQ Abbildung \* ARABIC ">
        <w:r>
          <w:rPr>
            <w:noProof/>
          </w:rPr>
          <w:t>1</w:t>
        </w:r>
      </w:fldSimple>
      <w:r>
        <w:t>: Plasmolyse Anteil in Prozent gegen verschiedene Konzentrationen von Saccharose (Tabelle 1) und KNO</w:t>
      </w:r>
      <w:r>
        <w:rPr>
          <w:vertAlign w:val="subscript"/>
        </w:rPr>
        <w:t>3</w:t>
      </w:r>
      <w:r>
        <w:t xml:space="preserve"> (Tabelle 2)</w:t>
      </w:r>
    </w:p>
    <w:p w:rsidR="00741129" w:rsidRDefault="001320BD" w:rsidP="00741129">
      <w:pPr>
        <w:pStyle w:val="berschrift1"/>
      </w:pPr>
      <w:r>
        <w:lastRenderedPageBreak/>
        <w:t>Diskussion</w:t>
      </w:r>
    </w:p>
    <w:p w:rsidR="002D6C36" w:rsidRDefault="00E673D8" w:rsidP="00741129">
      <w:pPr>
        <w:pStyle w:val="Textkrper"/>
      </w:pPr>
      <w:r>
        <w:t>Zu erwarten ist, dass KNO</w:t>
      </w:r>
      <w:r>
        <w:rPr>
          <w:vertAlign w:val="subscript"/>
        </w:rPr>
        <w:t>3</w:t>
      </w:r>
      <w:r>
        <w:t xml:space="preserve"> mit einer geringeren Konzentration als Saccharose einen Plasmolyseanteil von 50 %, d.h. eine Isotone Lösung, erreicht. </w:t>
      </w:r>
      <w:r w:rsidR="00D53F39">
        <w:t>Diese Ergebnisse</w:t>
      </w:r>
      <w:r w:rsidR="003E3F29">
        <w:t xml:space="preserve"> </w:t>
      </w:r>
      <w:r w:rsidR="00D53F39">
        <w:t>sind</w:t>
      </w:r>
      <w:r w:rsidR="003E3F29">
        <w:t xml:space="preserve"> zu erwarten, weil KNO</w:t>
      </w:r>
      <w:r w:rsidR="003E3F29">
        <w:rPr>
          <w:vertAlign w:val="subscript"/>
        </w:rPr>
        <w:t xml:space="preserve">3 </w:t>
      </w:r>
      <w:r w:rsidR="003E3F29">
        <w:t>ein Salz aus Kalium und Nitrat ist. Gelöst in Wasser trennen diese sich und liegen als Kalium</w:t>
      </w:r>
      <w:r w:rsidR="003E3F29">
        <w:rPr>
          <w:vertAlign w:val="superscript"/>
        </w:rPr>
        <w:t>+</w:t>
      </w:r>
      <w:r w:rsidR="003E3F29">
        <w:t xml:space="preserve"> und NO</w:t>
      </w:r>
      <w:r w:rsidR="003E3F29">
        <w:rPr>
          <w:vertAlign w:val="subscript"/>
        </w:rPr>
        <w:t>3</w:t>
      </w:r>
      <w:r w:rsidR="003E3F29">
        <w:rPr>
          <w:vertAlign w:val="superscript"/>
        </w:rPr>
        <w:t>-</w:t>
      </w:r>
      <w:r w:rsidR="003E3F29">
        <w:t xml:space="preserve"> vor. Saccharose bleibt ein Molekül gelöst im Wasser. Dies ermöglicht KNO</w:t>
      </w:r>
      <w:r w:rsidR="003E3F29">
        <w:rPr>
          <w:vertAlign w:val="subscript"/>
        </w:rPr>
        <w:t>3</w:t>
      </w:r>
      <w:r w:rsidR="003E3F29">
        <w:t xml:space="preserve"> einen </w:t>
      </w:r>
      <w:r w:rsidR="00B76D75">
        <w:t>zweifach</w:t>
      </w:r>
      <w:r w:rsidR="00D53F39">
        <w:t>en</w:t>
      </w:r>
      <w:r w:rsidR="00B76D75">
        <w:t xml:space="preserve"> osmotischen Druck, bei der gleichen Konzentration wie Saccharose aufzubauen. Die Konzentration von KNO</w:t>
      </w:r>
      <w:r w:rsidR="00B76D75">
        <w:rPr>
          <w:vertAlign w:val="subscript"/>
        </w:rPr>
        <w:t>3</w:t>
      </w:r>
      <w:r w:rsidR="00B76D75">
        <w:t xml:space="preserve"> sollte demnach ungefähr der Hälfte der Konzentration von Saccharose entsprechen. </w:t>
      </w:r>
    </w:p>
    <w:p w:rsidR="00117910" w:rsidRDefault="00117910" w:rsidP="00741129">
      <w:pPr>
        <w:pStyle w:val="Textkrper"/>
      </w:pPr>
      <w:r>
        <w:t xml:space="preserve">Die Ergebnisse entsprechen nicht den Erwartungen. Beide Lösungen sind im Versuch Nr. 7 bei einer Konzentration von 0,45 mol/L isotonisch. Bei höheren Konzentrationen ist die Plasmolyse bei Saccharose stärker. </w:t>
      </w:r>
      <w:r w:rsidR="00B072A0">
        <w:t>Bei kleineren Konzentrationen ist der osmotische Druck von KNO</w:t>
      </w:r>
      <w:r w:rsidR="00B072A0">
        <w:rPr>
          <w:vertAlign w:val="subscript"/>
        </w:rPr>
        <w:t>3</w:t>
      </w:r>
      <w:r w:rsidR="00B072A0">
        <w:t xml:space="preserve"> größer. </w:t>
      </w:r>
    </w:p>
    <w:p w:rsidR="00B072A0" w:rsidRDefault="00B072A0" w:rsidP="00741129">
      <w:pPr>
        <w:pStyle w:val="Textkrper"/>
      </w:pPr>
      <w:r>
        <w:t xml:space="preserve">Es kann mehrere Gründe geben warum die Ergebnisse nicht den Erwartungen entsprechen. Sehr unwahrscheinlich, aber nicht auszuschließen ist ein Fehler bei der Mischung der verschiedenen Lösungen. Dagegen spricht der nahezu stets steigende osmotische Druck erkennbar durch die Erhöhung, der Plasmolysierten Zellen bei höheren Konzentrationen. </w:t>
      </w:r>
    </w:p>
    <w:p w:rsidR="00B072A0" w:rsidRDefault="004C56DD" w:rsidP="00741129">
      <w:pPr>
        <w:pStyle w:val="Textkrper"/>
      </w:pPr>
      <w:r>
        <w:t xml:space="preserve">Die Zwiebelschnitte könnten nicht lange genug in den jeweiligen Lösungen gelegen haben. Oder sie </w:t>
      </w:r>
      <w:r w:rsidR="00D53F39">
        <w:t>sind</w:t>
      </w:r>
      <w:r>
        <w:t xml:space="preserve"> nicht richtig untergetaucht. Deswegen könnten die Zellen nicht vollständig der Konzentration entsprechend plasmolysiert sein. </w:t>
      </w:r>
    </w:p>
    <w:p w:rsidR="0027317D" w:rsidRDefault="0027317D" w:rsidP="00741129">
      <w:pPr>
        <w:pStyle w:val="Textkrper"/>
      </w:pPr>
      <w:r>
        <w:t>Es muss jedes Mal ein Bereich</w:t>
      </w:r>
      <w:r w:rsidR="00D53F39">
        <w:t xml:space="preserve"> ausgesucht werden</w:t>
      </w:r>
      <w:r>
        <w:t xml:space="preserve">, der </w:t>
      </w:r>
      <w:r w:rsidR="00D53F39">
        <w:t>eine repräsentative</w:t>
      </w:r>
      <w:r>
        <w:t xml:space="preserve"> </w:t>
      </w:r>
      <w:r w:rsidR="00D53F39">
        <w:t xml:space="preserve">Aussage </w:t>
      </w:r>
      <w:r>
        <w:t>für die Plasmolyse</w:t>
      </w:r>
      <w:r w:rsidR="000B4E0A">
        <w:t>,</w:t>
      </w:r>
      <w:r>
        <w:t xml:space="preserve"> durch die jeweilige Konzentration</w:t>
      </w:r>
      <w:r w:rsidR="00D53F39">
        <w:t xml:space="preserve"> </w:t>
      </w:r>
      <w:r w:rsidR="008E3738">
        <w:t>geben kann</w:t>
      </w:r>
      <w:r>
        <w:t xml:space="preserve">. In diesem werden 30 Zellen gezählt. Durch eine falsche Wahl könnte das Ergebnis verfälscht worden sein. </w:t>
      </w:r>
    </w:p>
    <w:p w:rsidR="0027317D" w:rsidRDefault="00D43537" w:rsidP="00741129">
      <w:pPr>
        <w:pStyle w:val="Textkrper"/>
      </w:pPr>
      <w:r>
        <w:t>Eine weiter</w:t>
      </w:r>
      <w:r w:rsidR="000B4E0A">
        <w:t>e</w:t>
      </w:r>
      <w:r>
        <w:t xml:space="preserve"> Fehlerquelle kann sein, dass verzählt wurde. Dies kann jedoch ausgeschlossen werden, weil kein einzelner Wert besonders heraussticht und den Anderen komplett widerspricht. </w:t>
      </w:r>
    </w:p>
    <w:p w:rsidR="00D43537" w:rsidRPr="00D61FB6" w:rsidRDefault="00D43537" w:rsidP="00741129">
      <w:pPr>
        <w:pStyle w:val="Textkrper"/>
      </w:pPr>
      <w:r>
        <w:t>Am wahrscheinlichsten ist ein Fehler, bei der Mischung der 1 M Lösung von Saccharose oder KNO</w:t>
      </w:r>
      <w:r>
        <w:rPr>
          <w:vertAlign w:val="subscript"/>
        </w:rPr>
        <w:t>3</w:t>
      </w:r>
      <w:r w:rsidR="006C5F04">
        <w:t xml:space="preserve"> entstanden</w:t>
      </w:r>
      <w:r>
        <w:t>. Entweder die Saccharo</w:t>
      </w:r>
      <w:r w:rsidR="00D61FB6">
        <w:t>se hatte eine größere Konzentration oder die KNO</w:t>
      </w:r>
      <w:r w:rsidR="00D61FB6">
        <w:rPr>
          <w:vertAlign w:val="subscript"/>
        </w:rPr>
        <w:t>3</w:t>
      </w:r>
      <w:r w:rsidR="00D61FB6">
        <w:t xml:space="preserve">-Lösung hatte eine kleinere Konzentration. Kein Wert sticht als komplett falsch heraus. Deswegen muss es </w:t>
      </w:r>
      <w:r w:rsidR="00EA12E7">
        <w:t xml:space="preserve">sich </w:t>
      </w:r>
      <w:bookmarkStart w:id="0" w:name="_GoBack"/>
      <w:bookmarkEnd w:id="0"/>
      <w:r w:rsidR="00D61FB6">
        <w:t xml:space="preserve">sehr wahrscheinlich um einen Fehler handeln, der eine oder beide komplette Lösungen betrifft. Oder dieser sich jedes Mal wiederholt hat. </w:t>
      </w:r>
    </w:p>
    <w:p w:rsidR="002D6C36" w:rsidRDefault="00117910" w:rsidP="00741129">
      <w:pPr>
        <w:pStyle w:val="Textkrper"/>
      </w:pPr>
      <w:r>
        <w:t xml:space="preserve"> </w:t>
      </w:r>
    </w:p>
    <w:p w:rsidR="002D6C36" w:rsidRDefault="002D6C36" w:rsidP="00741129">
      <w:pPr>
        <w:pStyle w:val="Textkrper"/>
      </w:pPr>
    </w:p>
    <w:p w:rsidR="00354218" w:rsidRDefault="001320BD" w:rsidP="00354218">
      <w:r>
        <w:tab/>
      </w:r>
      <w:r>
        <w:tab/>
      </w:r>
      <w:r>
        <w:tab/>
      </w:r>
      <w:r>
        <w:tab/>
      </w:r>
      <w:r>
        <w:tab/>
      </w:r>
      <w:r w:rsidR="007A3F1B">
        <w:tab/>
      </w:r>
      <w:r w:rsidR="00D27CB7">
        <w:t>____</w:t>
      </w:r>
      <w:r w:rsidR="00354218">
        <w:t>_________________________</w:t>
      </w:r>
      <w:r w:rsidR="00D27CB7">
        <w:t>______</w:t>
      </w:r>
    </w:p>
    <w:p w:rsidR="00354218" w:rsidRDefault="003D781B" w:rsidP="00354218">
      <w:r>
        <w:rPr>
          <w:noProof/>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CF00B3" w:rsidRPr="00CF00B3" w:rsidRDefault="00CF00B3" w:rsidP="00CF00B3">
                            <w:pPr>
                              <w:spacing w:before="240"/>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17770" id="_x0000_t202" coordsize="21600,21600" o:spt="202" path="m,l,21600r21600,l21600,xe">
                <v:stroke joinstyle="miter"/>
                <v:path gradientshapeok="t" o:connecttype="rect"/>
              </v:shapetype>
              <v:shape id="Text Box 24" o:spid="_x0000_s1026" type="#_x0000_t202" style="position:absolute;left:0;text-align:left;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CF00B3" w:rsidRPr="00CF00B3" w:rsidRDefault="00CF00B3" w:rsidP="00CF00B3">
                      <w:pPr>
                        <w:spacing w:before="240"/>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CF00B3">
      <w:pPr>
        <w:pStyle w:val="Textkrper"/>
      </w:pPr>
    </w:p>
    <w:p w:rsidR="00CF00B3" w:rsidRPr="00354218" w:rsidRDefault="00CF00B3" w:rsidP="00CF00B3">
      <w:pPr>
        <w:pStyle w:val="Textkrper"/>
      </w:pPr>
    </w:p>
    <w:sectPr w:rsidR="00CF00B3" w:rsidRPr="00354218" w:rsidSect="007D7A54">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80D" w:rsidRDefault="0052480D">
      <w:r>
        <w:separator/>
      </w:r>
    </w:p>
  </w:endnote>
  <w:endnote w:type="continuationSeparator" w:id="0">
    <w:p w:rsidR="0052480D" w:rsidRDefault="00524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B2E" w:rsidRDefault="00BC4B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B3" w:rsidRDefault="00CF00B3">
    <w:pPr>
      <w:pStyle w:val="Fuzeile"/>
      <w:jc w:val="right"/>
    </w:pPr>
    <w:r>
      <w:fldChar w:fldCharType="begin"/>
    </w:r>
    <w:r>
      <w:instrText>PAGE   \* MERGEFORMAT</w:instrText>
    </w:r>
    <w:r>
      <w:fldChar w:fldCharType="separate"/>
    </w:r>
    <w:r w:rsidR="00953132">
      <w:rPr>
        <w:noProof/>
      </w:rPr>
      <w:t>1</w:t>
    </w:r>
    <w:r>
      <w:fldChar w:fldCharType="end"/>
    </w:r>
  </w:p>
  <w:p w:rsidR="00CF00B3" w:rsidRDefault="00CF00B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B2E" w:rsidRDefault="00BC4B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80D" w:rsidRDefault="0052480D">
      <w:r>
        <w:separator/>
      </w:r>
    </w:p>
  </w:footnote>
  <w:footnote w:type="continuationSeparator" w:id="0">
    <w:p w:rsidR="0052480D" w:rsidRDefault="00524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B2E" w:rsidRDefault="00BC4B2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DF" w:rsidRDefault="009905DF"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proofErr w:type="spellStart"/>
    <w:r>
      <w:t>P</w:t>
    </w:r>
    <w:r w:rsidR="00BC4B2E">
      <w:t>_</w:t>
    </w:r>
    <w:r w:rsidR="003A10E9">
      <w:t>Bot</w:t>
    </w:r>
    <w:proofErr w:type="spellEnd"/>
    <w:r w:rsidR="006A23E9">
      <w:t xml:space="preserve"> </w:t>
    </w:r>
    <w:proofErr w:type="spellStart"/>
    <w:r w:rsidR="006A23E9">
      <w:t>SoSe</w:t>
    </w:r>
    <w:proofErr w:type="spellEnd"/>
    <w:r w:rsidR="006A23E9">
      <w:t xml:space="preserve"> 20</w:t>
    </w:r>
    <w:r w:rsidR="00741129">
      <w:t>18</w:t>
    </w:r>
  </w:p>
  <w:p w:rsidR="009905DF" w:rsidRDefault="006A23E9"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BTA 2</w:t>
    </w:r>
    <w:r w:rsidR="009905DF">
      <w:t xml:space="preserve">   </w:t>
    </w:r>
    <w:r w:rsidR="00741129">
      <w:t>Gruppe</w:t>
    </w:r>
    <w:r w:rsidR="001E6A34">
      <w:t>:</w:t>
    </w:r>
    <w:r w:rsidR="00741129">
      <w:t xml:space="preserve"> </w:t>
    </w:r>
    <w:r w:rsidR="001E6A34">
      <w:t>1</w:t>
    </w:r>
    <w:r w:rsidR="00741129">
      <w:t xml:space="preserve">   </w:t>
    </w:r>
    <w:r w:rsidR="009905DF">
      <w:t>AG</w:t>
    </w:r>
    <w:r w:rsidR="001E6A34">
      <w:t>:</w:t>
    </w:r>
    <w:r w:rsidR="009905DF">
      <w:t xml:space="preserve"> </w:t>
    </w:r>
    <w:r w:rsidR="001E6A34">
      <w:t>A</w:t>
    </w:r>
    <w:r w:rsidR="009905DF" w:rsidRPr="003E55D5">
      <w:t xml:space="preserve"> </w:t>
    </w:r>
  </w:p>
  <w:p w:rsidR="009905DF" w:rsidRDefault="009905DF"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Name</w:t>
    </w:r>
    <w:r w:rsidR="0089172B">
      <w:t>n</w:t>
    </w:r>
    <w:r>
      <w:t xml:space="preserve">: </w:t>
    </w:r>
    <w:r w:rsidR="001E6A34">
      <w:t>Phillip Berger, Yannik Seubert</w:t>
    </w:r>
    <w:r>
      <w:tab/>
      <w:t>Datum:</w:t>
    </w:r>
    <w:r w:rsidR="001E6A34">
      <w:t>26.04.2018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B2E" w:rsidRDefault="00BC4B2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0CA00FFC"/>
    <w:multiLevelType w:val="multilevel"/>
    <w:tmpl w:val="982EB336"/>
    <w:lvl w:ilvl="0">
      <w:start w:val="1"/>
      <w:numFmt w:val="decimal"/>
      <w:pStyle w:val="berschrift1"/>
      <w:lvlText w:val="%1"/>
      <w:lvlJc w:val="left"/>
      <w:pPr>
        <w:tabs>
          <w:tab w:val="num" w:pos="432"/>
        </w:tabs>
        <w:ind w:left="432" w:hanging="432"/>
      </w:pPr>
      <w:rPr>
        <w:rFonts w:hint="default"/>
        <w:b/>
        <w:i w:val="0"/>
        <w:sz w:val="28"/>
        <w:szCs w:val="32"/>
      </w:rPr>
    </w:lvl>
    <w:lvl w:ilvl="1">
      <w:start w:val="1"/>
      <w:numFmt w:val="decimal"/>
      <w:pStyle w:val="berschrift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berschrift3"/>
      <w:lvlText w:val="%1.%2.%3"/>
      <w:lvlJc w:val="left"/>
      <w:pPr>
        <w:tabs>
          <w:tab w:val="num" w:pos="1080"/>
        </w:tabs>
        <w:ind w:left="720" w:hanging="720"/>
      </w:pPr>
      <w:rPr>
        <w:rFonts w:ascii="Verdana" w:hAnsi="Verdana" w:hint="default"/>
        <w:b/>
        <w:i w:val="0"/>
        <w:sz w:val="26"/>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5D5"/>
    <w:rsid w:val="00000623"/>
    <w:rsid w:val="00051D71"/>
    <w:rsid w:val="000629ED"/>
    <w:rsid w:val="000A674D"/>
    <w:rsid w:val="000B30C7"/>
    <w:rsid w:val="000B4E0A"/>
    <w:rsid w:val="00117910"/>
    <w:rsid w:val="001320BD"/>
    <w:rsid w:val="00154416"/>
    <w:rsid w:val="00177864"/>
    <w:rsid w:val="001929B1"/>
    <w:rsid w:val="001E6A34"/>
    <w:rsid w:val="001F12CE"/>
    <w:rsid w:val="0027317D"/>
    <w:rsid w:val="002C2026"/>
    <w:rsid w:val="002D6C36"/>
    <w:rsid w:val="00326894"/>
    <w:rsid w:val="003311A1"/>
    <w:rsid w:val="00354218"/>
    <w:rsid w:val="00383102"/>
    <w:rsid w:val="0038513D"/>
    <w:rsid w:val="003A10E9"/>
    <w:rsid w:val="003A2F91"/>
    <w:rsid w:val="003B267A"/>
    <w:rsid w:val="003D781B"/>
    <w:rsid w:val="003E3F29"/>
    <w:rsid w:val="003E55D5"/>
    <w:rsid w:val="00411BF7"/>
    <w:rsid w:val="00416990"/>
    <w:rsid w:val="004267D0"/>
    <w:rsid w:val="004C56DD"/>
    <w:rsid w:val="0052480D"/>
    <w:rsid w:val="00533A37"/>
    <w:rsid w:val="0055372C"/>
    <w:rsid w:val="005821B4"/>
    <w:rsid w:val="005A08A4"/>
    <w:rsid w:val="005F74B5"/>
    <w:rsid w:val="0064566B"/>
    <w:rsid w:val="006A23E9"/>
    <w:rsid w:val="006C5F04"/>
    <w:rsid w:val="007141DC"/>
    <w:rsid w:val="0071674E"/>
    <w:rsid w:val="00741129"/>
    <w:rsid w:val="00774B26"/>
    <w:rsid w:val="007A3F1B"/>
    <w:rsid w:val="007D7A54"/>
    <w:rsid w:val="00846203"/>
    <w:rsid w:val="0089172B"/>
    <w:rsid w:val="008E3738"/>
    <w:rsid w:val="00905951"/>
    <w:rsid w:val="00953132"/>
    <w:rsid w:val="009905DF"/>
    <w:rsid w:val="009A3440"/>
    <w:rsid w:val="009E0F27"/>
    <w:rsid w:val="009E0FDB"/>
    <w:rsid w:val="009E4C9A"/>
    <w:rsid w:val="00A037F6"/>
    <w:rsid w:val="00A44FB8"/>
    <w:rsid w:val="00A74DCD"/>
    <w:rsid w:val="00A8102D"/>
    <w:rsid w:val="00B072A0"/>
    <w:rsid w:val="00B41F50"/>
    <w:rsid w:val="00B76D75"/>
    <w:rsid w:val="00BA2061"/>
    <w:rsid w:val="00BC4B2E"/>
    <w:rsid w:val="00BE5803"/>
    <w:rsid w:val="00CC7ACF"/>
    <w:rsid w:val="00CF00B3"/>
    <w:rsid w:val="00D27CB7"/>
    <w:rsid w:val="00D43537"/>
    <w:rsid w:val="00D53F39"/>
    <w:rsid w:val="00D565CB"/>
    <w:rsid w:val="00D61FB6"/>
    <w:rsid w:val="00DC1067"/>
    <w:rsid w:val="00DD5023"/>
    <w:rsid w:val="00E44141"/>
    <w:rsid w:val="00E673D8"/>
    <w:rsid w:val="00E83E98"/>
    <w:rsid w:val="00EA12E7"/>
    <w:rsid w:val="00FE1CA7"/>
    <w:rsid w:val="00FE30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EA5DEA"/>
  <w15:docId w15:val="{80D44739-3021-4593-B77F-9B7DAFB9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44FB8"/>
    <w:pPr>
      <w:spacing w:line="360" w:lineRule="auto"/>
      <w:jc w:val="both"/>
    </w:pPr>
    <w:rPr>
      <w:rFonts w:ascii="Arial" w:hAnsi="Arial"/>
      <w:sz w:val="22"/>
      <w:szCs w:val="24"/>
    </w:rPr>
  </w:style>
  <w:style w:type="paragraph" w:styleId="berschrift1">
    <w:name w:val="heading 1"/>
    <w:basedOn w:val="Standard"/>
    <w:next w:val="Textkrper"/>
    <w:qFormat/>
    <w:rsid w:val="009E0FDB"/>
    <w:pPr>
      <w:keepNext/>
      <w:numPr>
        <w:numId w:val="5"/>
      </w:numPr>
      <w:tabs>
        <w:tab w:val="clear" w:pos="432"/>
      </w:tabs>
      <w:spacing w:before="240" w:after="120"/>
      <w:ind w:left="567" w:hanging="567"/>
      <w:outlineLvl w:val="0"/>
    </w:pPr>
    <w:rPr>
      <w:rFonts w:cs="Arial"/>
      <w:b/>
      <w:bCs/>
      <w:kern w:val="32"/>
      <w:sz w:val="32"/>
      <w:szCs w:val="32"/>
    </w:rPr>
  </w:style>
  <w:style w:type="paragraph" w:styleId="berschrift2">
    <w:name w:val="heading 2"/>
    <w:basedOn w:val="Standard"/>
    <w:next w:val="Standard"/>
    <w:qFormat/>
    <w:rsid w:val="009E0FDB"/>
    <w:pPr>
      <w:keepNext/>
      <w:numPr>
        <w:ilvl w:val="1"/>
        <w:numId w:val="5"/>
      </w:numPr>
      <w:spacing w:before="240" w:after="120"/>
      <w:ind w:left="567" w:hanging="567"/>
      <w:outlineLvl w:val="1"/>
    </w:pPr>
    <w:rPr>
      <w:rFonts w:cs="Arial"/>
      <w:b/>
      <w:bCs/>
      <w:iCs/>
      <w:sz w:val="28"/>
      <w:szCs w:val="28"/>
    </w:rPr>
  </w:style>
  <w:style w:type="paragraph" w:styleId="berschrift3">
    <w:name w:val="heading 3"/>
    <w:basedOn w:val="Standard"/>
    <w:next w:val="Standard"/>
    <w:qFormat/>
    <w:rsid w:val="00354218"/>
    <w:pPr>
      <w:keepNext/>
      <w:numPr>
        <w:ilvl w:val="2"/>
        <w:numId w:val="5"/>
      </w:numPr>
      <w:spacing w:before="240" w:after="60"/>
      <w:outlineLvl w:val="2"/>
    </w:pPr>
    <w:rPr>
      <w:rFonts w:ascii="Verdana" w:hAnsi="Verdana" w:cs="Arial"/>
      <w:b/>
      <w:bCs/>
      <w:sz w:val="26"/>
      <w:szCs w:val="26"/>
    </w:rPr>
  </w:style>
  <w:style w:type="paragraph" w:styleId="berschrift4">
    <w:name w:val="heading 4"/>
    <w:basedOn w:val="Standard"/>
    <w:next w:val="Standard"/>
    <w:qFormat/>
    <w:rsid w:val="00354218"/>
    <w:pPr>
      <w:keepNext/>
      <w:numPr>
        <w:ilvl w:val="3"/>
        <w:numId w:val="5"/>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354218"/>
    <w:pPr>
      <w:numPr>
        <w:ilvl w:val="4"/>
        <w:numId w:val="5"/>
      </w:numPr>
      <w:spacing w:before="240" w:after="60"/>
      <w:outlineLvl w:val="4"/>
    </w:pPr>
    <w:rPr>
      <w:b/>
      <w:bCs/>
      <w:i/>
      <w:iCs/>
      <w:sz w:val="26"/>
      <w:szCs w:val="26"/>
    </w:rPr>
  </w:style>
  <w:style w:type="paragraph" w:styleId="berschrift6">
    <w:name w:val="heading 6"/>
    <w:basedOn w:val="Standard"/>
    <w:next w:val="Standard"/>
    <w:qFormat/>
    <w:rsid w:val="00354218"/>
    <w:pPr>
      <w:numPr>
        <w:ilvl w:val="5"/>
        <w:numId w:val="5"/>
      </w:numPr>
      <w:spacing w:before="240" w:after="60"/>
      <w:outlineLvl w:val="5"/>
    </w:pPr>
    <w:rPr>
      <w:rFonts w:ascii="Times New Roman" w:hAnsi="Times New Roman"/>
      <w:b/>
      <w:bCs/>
      <w:szCs w:val="22"/>
    </w:rPr>
  </w:style>
  <w:style w:type="paragraph" w:styleId="berschrift7">
    <w:name w:val="heading 7"/>
    <w:basedOn w:val="Standard"/>
    <w:next w:val="Standard"/>
    <w:qFormat/>
    <w:rsid w:val="00354218"/>
    <w:pPr>
      <w:numPr>
        <w:ilvl w:val="6"/>
        <w:numId w:val="5"/>
      </w:numPr>
      <w:spacing w:before="240" w:after="60"/>
      <w:outlineLvl w:val="6"/>
    </w:pPr>
    <w:rPr>
      <w:rFonts w:ascii="Times New Roman" w:hAnsi="Times New Roman"/>
    </w:rPr>
  </w:style>
  <w:style w:type="paragraph" w:styleId="berschrift8">
    <w:name w:val="heading 8"/>
    <w:basedOn w:val="Standard"/>
    <w:next w:val="Standard"/>
    <w:qFormat/>
    <w:rsid w:val="00354218"/>
    <w:pPr>
      <w:numPr>
        <w:ilvl w:val="7"/>
        <w:numId w:val="5"/>
      </w:numPr>
      <w:spacing w:before="240" w:after="60"/>
      <w:outlineLvl w:val="7"/>
    </w:pPr>
    <w:rPr>
      <w:rFonts w:ascii="Times New Roman" w:hAnsi="Times New Roman"/>
      <w:i/>
      <w:iCs/>
    </w:rPr>
  </w:style>
  <w:style w:type="paragraph" w:styleId="berschrift9">
    <w:name w:val="heading 9"/>
    <w:basedOn w:val="Standard"/>
    <w:next w:val="Standard"/>
    <w:qFormat/>
    <w:rsid w:val="00354218"/>
    <w:pPr>
      <w:numPr>
        <w:ilvl w:val="8"/>
        <w:numId w:val="5"/>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3">
    <w:name w:val="List Number 3"/>
    <w:basedOn w:val="Standard"/>
    <w:next w:val="Textkrper"/>
    <w:autoRedefine/>
    <w:rsid w:val="005F74B5"/>
    <w:pPr>
      <w:numPr>
        <w:numId w:val="3"/>
      </w:numPr>
      <w:tabs>
        <w:tab w:val="left" w:pos="680"/>
      </w:tabs>
      <w:spacing w:after="120"/>
    </w:pPr>
    <w:rPr>
      <w:rFonts w:ascii="Verdana" w:hAnsi="Verdana"/>
      <w:szCs w:val="22"/>
    </w:rPr>
  </w:style>
  <w:style w:type="paragraph" w:styleId="Textkrper">
    <w:name w:val="Body Text"/>
    <w:basedOn w:val="Standard"/>
    <w:rsid w:val="007D7A54"/>
    <w:pPr>
      <w:spacing w:after="120"/>
    </w:pPr>
  </w:style>
  <w:style w:type="paragraph" w:styleId="Kopfzeile">
    <w:name w:val="header"/>
    <w:basedOn w:val="Standard"/>
    <w:rsid w:val="003E55D5"/>
    <w:pPr>
      <w:tabs>
        <w:tab w:val="center" w:pos="4536"/>
        <w:tab w:val="right" w:pos="9072"/>
      </w:tabs>
    </w:pPr>
  </w:style>
  <w:style w:type="paragraph" w:styleId="Fuzeile">
    <w:name w:val="footer"/>
    <w:basedOn w:val="Standard"/>
    <w:link w:val="FuzeileZchn"/>
    <w:uiPriority w:val="99"/>
    <w:rsid w:val="003E55D5"/>
    <w:pPr>
      <w:tabs>
        <w:tab w:val="center" w:pos="4536"/>
        <w:tab w:val="right" w:pos="9072"/>
      </w:tabs>
    </w:pPr>
  </w:style>
  <w:style w:type="character" w:customStyle="1" w:styleId="FuzeileZchn">
    <w:name w:val="Fußzeile Zchn"/>
    <w:link w:val="Fuzeile"/>
    <w:uiPriority w:val="99"/>
    <w:rsid w:val="00CF00B3"/>
    <w:rPr>
      <w:rFonts w:ascii="Arial" w:hAnsi="Arial"/>
      <w:sz w:val="24"/>
      <w:szCs w:val="24"/>
    </w:rPr>
  </w:style>
  <w:style w:type="paragraph" w:styleId="Sprechblasentext">
    <w:name w:val="Balloon Text"/>
    <w:basedOn w:val="Standard"/>
    <w:link w:val="SprechblasentextZchn"/>
    <w:rsid w:val="0064566B"/>
    <w:rPr>
      <w:rFonts w:ascii="Tahoma" w:hAnsi="Tahoma" w:cs="Tahoma"/>
      <w:sz w:val="16"/>
      <w:szCs w:val="16"/>
    </w:rPr>
  </w:style>
  <w:style w:type="character" w:customStyle="1" w:styleId="SprechblasentextZchn">
    <w:name w:val="Sprechblasentext Zchn"/>
    <w:basedOn w:val="Absatz-Standardschriftart"/>
    <w:link w:val="Sprechblasentext"/>
    <w:rsid w:val="0064566B"/>
    <w:rPr>
      <w:rFonts w:ascii="Tahoma" w:hAnsi="Tahoma" w:cs="Tahoma"/>
      <w:sz w:val="16"/>
      <w:szCs w:val="16"/>
    </w:rPr>
  </w:style>
  <w:style w:type="paragraph" w:styleId="Titel">
    <w:name w:val="Title"/>
    <w:basedOn w:val="Standard"/>
    <w:next w:val="Standard"/>
    <w:link w:val="TitelZchn"/>
    <w:qFormat/>
    <w:rsid w:val="002C2026"/>
    <w:pPr>
      <w:spacing w:before="120" w:after="120"/>
      <w:contextualSpacing/>
      <w:jc w:val="center"/>
    </w:pPr>
    <w:rPr>
      <w:rFonts w:eastAsiaTheme="majorEastAsia" w:cstheme="majorBidi"/>
      <w:b/>
      <w:spacing w:val="5"/>
      <w:kern w:val="28"/>
      <w:sz w:val="32"/>
      <w:szCs w:val="52"/>
    </w:rPr>
  </w:style>
  <w:style w:type="character" w:customStyle="1" w:styleId="TitelZchn">
    <w:name w:val="Titel Zchn"/>
    <w:basedOn w:val="Absatz-Standardschriftart"/>
    <w:link w:val="Titel"/>
    <w:rsid w:val="002C2026"/>
    <w:rPr>
      <w:rFonts w:ascii="Arial" w:eastAsiaTheme="majorEastAsia" w:hAnsi="Arial" w:cstheme="majorBidi"/>
      <w:b/>
      <w:spacing w:val="5"/>
      <w:kern w:val="28"/>
      <w:sz w:val="32"/>
      <w:szCs w:val="52"/>
    </w:rPr>
  </w:style>
  <w:style w:type="table" w:styleId="Tabellenraster">
    <w:name w:val="Table Grid"/>
    <w:basedOn w:val="NormaleTabelle"/>
    <w:rsid w:val="00192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154416"/>
    <w:pPr>
      <w:spacing w:after="200"/>
    </w:pPr>
    <w:rPr>
      <w:iCs/>
      <w:color w:val="000000" w:themeColor="text1"/>
      <w:sz w:val="20"/>
      <w:szCs w:val="18"/>
    </w:rPr>
  </w:style>
  <w:style w:type="table" w:styleId="TabellemithellemGitternetz">
    <w:name w:val="Grid Table Light"/>
    <w:basedOn w:val="NormaleTabelle"/>
    <w:uiPriority w:val="40"/>
    <w:rsid w:val="00774B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DC10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908433">
      <w:bodyDiv w:val="1"/>
      <w:marLeft w:val="0"/>
      <w:marRight w:val="0"/>
      <w:marTop w:val="0"/>
      <w:marBottom w:val="0"/>
      <w:divBdr>
        <w:top w:val="none" w:sz="0" w:space="0" w:color="auto"/>
        <w:left w:val="none" w:sz="0" w:space="0" w:color="auto"/>
        <w:bottom w:val="none" w:sz="0" w:space="0" w:color="auto"/>
        <w:right w:val="none" w:sz="0" w:space="0" w:color="auto"/>
      </w:divBdr>
    </w:div>
    <w:div w:id="686256934">
      <w:bodyDiv w:val="1"/>
      <w:marLeft w:val="0"/>
      <w:marRight w:val="0"/>
      <w:marTop w:val="0"/>
      <w:marBottom w:val="0"/>
      <w:divBdr>
        <w:top w:val="none" w:sz="0" w:space="0" w:color="auto"/>
        <w:left w:val="none" w:sz="0" w:space="0" w:color="auto"/>
        <w:bottom w:val="none" w:sz="0" w:space="0" w:color="auto"/>
        <w:right w:val="none" w:sz="0" w:space="0" w:color="auto"/>
      </w:divBdr>
    </w:div>
    <w:div w:id="750397982">
      <w:bodyDiv w:val="1"/>
      <w:marLeft w:val="0"/>
      <w:marRight w:val="0"/>
      <w:marTop w:val="0"/>
      <w:marBottom w:val="0"/>
      <w:divBdr>
        <w:top w:val="none" w:sz="0" w:space="0" w:color="auto"/>
        <w:left w:val="none" w:sz="0" w:space="0" w:color="auto"/>
        <w:bottom w:val="none" w:sz="0" w:space="0" w:color="auto"/>
        <w:right w:val="none" w:sz="0" w:space="0" w:color="auto"/>
      </w:divBdr>
    </w:div>
    <w:div w:id="167668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Fresenius\P_Bot\Protokolle\Tabellen%20zu%20Plasmoly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Plasmolyse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Saccharose</c:v>
          </c:tx>
          <c:spPr>
            <a:ln w="25400" cap="rnd">
              <a:noFill/>
              <a:round/>
            </a:ln>
            <a:effectLst/>
          </c:spPr>
          <c:marker>
            <c:symbol val="circle"/>
            <c:size val="5"/>
            <c:spPr>
              <a:solidFill>
                <a:schemeClr val="accent1"/>
              </a:solidFill>
              <a:ln w="9525">
                <a:solidFill>
                  <a:schemeClr val="accent1"/>
                </a:solidFill>
              </a:ln>
              <a:effectLst/>
            </c:spPr>
          </c:marker>
          <c:xVal>
            <c:numRef>
              <c:f>Tabelle1!$D$2:$D$14</c:f>
              <c:numCache>
                <c:formatCode>0.0</c:formatCode>
                <c:ptCount val="13"/>
                <c:pt idx="0">
                  <c:v>93.333333333333343</c:v>
                </c:pt>
                <c:pt idx="1">
                  <c:v>93.33</c:v>
                </c:pt>
                <c:pt idx="2">
                  <c:v>90</c:v>
                </c:pt>
                <c:pt idx="3">
                  <c:v>80</c:v>
                </c:pt>
                <c:pt idx="4">
                  <c:v>76.67</c:v>
                </c:pt>
                <c:pt idx="5">
                  <c:v>60</c:v>
                </c:pt>
                <c:pt idx="6">
                  <c:v>50</c:v>
                </c:pt>
                <c:pt idx="7">
                  <c:v>33.33</c:v>
                </c:pt>
                <c:pt idx="8">
                  <c:v>16.670000000000002</c:v>
                </c:pt>
                <c:pt idx="9">
                  <c:v>6.67</c:v>
                </c:pt>
                <c:pt idx="10">
                  <c:v>3.33</c:v>
                </c:pt>
                <c:pt idx="11">
                  <c:v>3.33</c:v>
                </c:pt>
                <c:pt idx="12">
                  <c:v>0</c:v>
                </c:pt>
              </c:numCache>
            </c:numRef>
          </c:xVal>
          <c:yVal>
            <c:numRef>
              <c:f>Tabelle1!$B$2:$B$14</c:f>
              <c:numCache>
                <c:formatCode>General</c:formatCode>
                <c:ptCount val="13"/>
                <c:pt idx="0">
                  <c:v>0.8</c:v>
                </c:pt>
                <c:pt idx="1">
                  <c:v>0.7</c:v>
                </c:pt>
                <c:pt idx="2">
                  <c:v>0.65</c:v>
                </c:pt>
                <c:pt idx="3">
                  <c:v>0.6</c:v>
                </c:pt>
                <c:pt idx="4">
                  <c:v>0.55000000000000004</c:v>
                </c:pt>
                <c:pt idx="5">
                  <c:v>0.5</c:v>
                </c:pt>
                <c:pt idx="6">
                  <c:v>0.45</c:v>
                </c:pt>
                <c:pt idx="7">
                  <c:v>0.4</c:v>
                </c:pt>
                <c:pt idx="8">
                  <c:v>0.35</c:v>
                </c:pt>
                <c:pt idx="9">
                  <c:v>0.3</c:v>
                </c:pt>
                <c:pt idx="10">
                  <c:v>0.25</c:v>
                </c:pt>
                <c:pt idx="11">
                  <c:v>0.2</c:v>
                </c:pt>
                <c:pt idx="12">
                  <c:v>0.1</c:v>
                </c:pt>
              </c:numCache>
            </c:numRef>
          </c:yVal>
          <c:smooth val="0"/>
          <c:extLst>
            <c:ext xmlns:c16="http://schemas.microsoft.com/office/drawing/2014/chart" uri="{C3380CC4-5D6E-409C-BE32-E72D297353CC}">
              <c16:uniqueId val="{00000000-6BBB-457D-946C-E90A4CA7B0F5}"/>
            </c:ext>
          </c:extLst>
        </c:ser>
        <c:ser>
          <c:idx val="1"/>
          <c:order val="1"/>
          <c:tx>
            <c:v>KNO3</c:v>
          </c:tx>
          <c:spPr>
            <a:ln w="25400" cap="rnd">
              <a:noFill/>
              <a:round/>
            </a:ln>
            <a:effectLst/>
          </c:spPr>
          <c:marker>
            <c:symbol val="circle"/>
            <c:size val="5"/>
            <c:spPr>
              <a:solidFill>
                <a:schemeClr val="accent2"/>
              </a:solidFill>
              <a:ln w="9525">
                <a:solidFill>
                  <a:schemeClr val="accent2"/>
                </a:solidFill>
              </a:ln>
              <a:effectLst/>
            </c:spPr>
          </c:marker>
          <c:xVal>
            <c:numRef>
              <c:f>Tabelle1!$D$18:$D$30</c:f>
              <c:numCache>
                <c:formatCode>0.0</c:formatCode>
                <c:ptCount val="13"/>
                <c:pt idx="0">
                  <c:v>90</c:v>
                </c:pt>
                <c:pt idx="1">
                  <c:v>80</c:v>
                </c:pt>
                <c:pt idx="2">
                  <c:v>76.67</c:v>
                </c:pt>
                <c:pt idx="3">
                  <c:v>70</c:v>
                </c:pt>
                <c:pt idx="4">
                  <c:v>70</c:v>
                </c:pt>
                <c:pt idx="5">
                  <c:v>60</c:v>
                </c:pt>
                <c:pt idx="6">
                  <c:v>50</c:v>
                </c:pt>
                <c:pt idx="7">
                  <c:v>46.67</c:v>
                </c:pt>
                <c:pt idx="8">
                  <c:v>23.33</c:v>
                </c:pt>
                <c:pt idx="9">
                  <c:v>16.670000000000002</c:v>
                </c:pt>
                <c:pt idx="10">
                  <c:v>10</c:v>
                </c:pt>
                <c:pt idx="11">
                  <c:v>3.33</c:v>
                </c:pt>
                <c:pt idx="12">
                  <c:v>0</c:v>
                </c:pt>
              </c:numCache>
            </c:numRef>
          </c:xVal>
          <c:yVal>
            <c:numRef>
              <c:f>Tabelle1!$B$18:$B$30</c:f>
              <c:numCache>
                <c:formatCode>General</c:formatCode>
                <c:ptCount val="13"/>
                <c:pt idx="0">
                  <c:v>0.8</c:v>
                </c:pt>
                <c:pt idx="1">
                  <c:v>0.7</c:v>
                </c:pt>
                <c:pt idx="2">
                  <c:v>0.65</c:v>
                </c:pt>
                <c:pt idx="3">
                  <c:v>0.6</c:v>
                </c:pt>
                <c:pt idx="4">
                  <c:v>0.55000000000000004</c:v>
                </c:pt>
                <c:pt idx="5">
                  <c:v>0.5</c:v>
                </c:pt>
                <c:pt idx="6">
                  <c:v>0.45</c:v>
                </c:pt>
                <c:pt idx="7">
                  <c:v>0.4</c:v>
                </c:pt>
                <c:pt idx="8">
                  <c:v>0.35</c:v>
                </c:pt>
                <c:pt idx="9">
                  <c:v>0.3</c:v>
                </c:pt>
                <c:pt idx="10">
                  <c:v>0.25</c:v>
                </c:pt>
                <c:pt idx="11">
                  <c:v>0.2</c:v>
                </c:pt>
                <c:pt idx="12">
                  <c:v>0.1</c:v>
                </c:pt>
              </c:numCache>
            </c:numRef>
          </c:yVal>
          <c:smooth val="0"/>
          <c:extLst>
            <c:ext xmlns:c16="http://schemas.microsoft.com/office/drawing/2014/chart" uri="{C3380CC4-5D6E-409C-BE32-E72D297353CC}">
              <c16:uniqueId val="{00000001-6BBB-457D-946C-E90A4CA7B0F5}"/>
            </c:ext>
          </c:extLst>
        </c:ser>
        <c:dLbls>
          <c:showLegendKey val="0"/>
          <c:showVal val="0"/>
          <c:showCatName val="0"/>
          <c:showSerName val="0"/>
          <c:showPercent val="0"/>
          <c:showBubbleSize val="0"/>
        </c:dLbls>
        <c:axId val="438511968"/>
        <c:axId val="438513608"/>
      </c:scatterChart>
      <c:valAx>
        <c:axId val="43851196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Plasmolyseanteil</a:t>
                </a:r>
                <a:r>
                  <a:rPr lang="de-DE" baseline="0"/>
                  <a:t> in Prozent (%)</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8513608"/>
        <c:crosses val="autoZero"/>
        <c:crossBetween val="midCat"/>
      </c:valAx>
      <c:valAx>
        <c:axId val="4385136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c(KNO3/Saccharose) in mol/L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85119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495</Words>
  <Characters>3124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Hochschule Fresenius</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Phillip Berger</cp:lastModifiedBy>
  <cp:revision>20</cp:revision>
  <cp:lastPrinted>2016-09-08T07:58:00Z</cp:lastPrinted>
  <dcterms:created xsi:type="dcterms:W3CDTF">2018-05-02T12:38:00Z</dcterms:created>
  <dcterms:modified xsi:type="dcterms:W3CDTF">2018-05-02T19:56:00Z</dcterms:modified>
</cp:coreProperties>
</file>