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65CB" w:rsidRPr="002C2026" w:rsidRDefault="003E55D5" w:rsidP="002C2026">
      <w:pPr>
        <w:pStyle w:val="Titel"/>
      </w:pPr>
      <w:r w:rsidRPr="002C2026">
        <w:t>Versuchstitel</w:t>
      </w:r>
      <w:r w:rsidR="00354218" w:rsidRPr="002C2026">
        <w:t>:</w:t>
      </w:r>
      <w:r w:rsidR="001929B1">
        <w:t xml:space="preserve"> Qualitativer Nachweis von reduzierenden Zuckern</w:t>
      </w:r>
    </w:p>
    <w:p w:rsidR="00054F01" w:rsidRDefault="00D27CB7" w:rsidP="00C20259">
      <w:pPr>
        <w:pStyle w:val="berschrift1"/>
      </w:pPr>
      <w:r w:rsidRPr="007D7A54">
        <w:t>Ergebnisse</w:t>
      </w:r>
    </w:p>
    <w:p w:rsidR="00C20259" w:rsidRDefault="00054F01" w:rsidP="00C20259">
      <w:pPr>
        <w:pStyle w:val="Textkrper"/>
      </w:pPr>
      <w:r>
        <w:rPr>
          <w:noProof/>
        </w:rPr>
        <w:drawing>
          <wp:inline distT="0" distB="0" distL="0" distR="0">
            <wp:extent cx="3196558" cy="2652792"/>
            <wp:effectExtent l="0" t="0" r="444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0180115-WA0000.jpg"/>
                    <pic:cNvPicPr/>
                  </pic:nvPicPr>
                  <pic:blipFill rotWithShape="1">
                    <a:blip r:embed="rId7" cstate="print">
                      <a:extLst>
                        <a:ext uri="{28A0092B-C50C-407E-A947-70E740481C1C}">
                          <a14:useLocalDpi xmlns:a14="http://schemas.microsoft.com/office/drawing/2010/main" val="0"/>
                        </a:ext>
                      </a:extLst>
                    </a:blip>
                    <a:srcRect l="13342" t="16723" r="19934" b="9448"/>
                    <a:stretch/>
                  </pic:blipFill>
                  <pic:spPr bwMode="auto">
                    <a:xfrm>
                      <a:off x="0" y="0"/>
                      <a:ext cx="3234279" cy="2684096"/>
                    </a:xfrm>
                    <a:prstGeom prst="rect">
                      <a:avLst/>
                    </a:prstGeom>
                    <a:ln>
                      <a:noFill/>
                    </a:ln>
                    <a:extLst>
                      <a:ext uri="{53640926-AAD7-44D8-BBD7-CCE9431645EC}">
                        <a14:shadowObscured xmlns:a14="http://schemas.microsoft.com/office/drawing/2010/main"/>
                      </a:ext>
                    </a:extLst>
                  </pic:spPr>
                </pic:pic>
              </a:graphicData>
            </a:graphic>
          </wp:inline>
        </w:drawing>
      </w:r>
    </w:p>
    <w:p w:rsidR="00363038" w:rsidRDefault="00363038" w:rsidP="00C20259">
      <w:pPr>
        <w:pStyle w:val="Textkrper"/>
        <w:rPr>
          <w:sz w:val="20"/>
          <w:szCs w:val="20"/>
        </w:rPr>
      </w:pPr>
      <w:r>
        <w:rPr>
          <w:sz w:val="20"/>
          <w:szCs w:val="20"/>
        </w:rPr>
        <w:t>Abbildung 1: Fehling</w:t>
      </w:r>
      <w:r w:rsidR="008734D8">
        <w:rPr>
          <w:sz w:val="20"/>
          <w:szCs w:val="20"/>
        </w:rPr>
        <w:t>-</w:t>
      </w:r>
      <w:r>
        <w:rPr>
          <w:sz w:val="20"/>
          <w:szCs w:val="20"/>
        </w:rPr>
        <w:t>Probe</w:t>
      </w:r>
      <w:r w:rsidR="008734D8">
        <w:rPr>
          <w:sz w:val="20"/>
          <w:szCs w:val="20"/>
        </w:rPr>
        <w:t>-Lösungen</w:t>
      </w:r>
      <w:r>
        <w:rPr>
          <w:sz w:val="20"/>
          <w:szCs w:val="20"/>
        </w:rPr>
        <w:t xml:space="preserve"> vor dem Erhitzen. </w:t>
      </w:r>
      <w:r w:rsidRPr="00363038">
        <w:rPr>
          <w:sz w:val="20"/>
          <w:szCs w:val="20"/>
        </w:rPr>
        <w:t>Von Links: Glucose, Fructose, Saccharose, Stärke</w:t>
      </w:r>
      <w:r>
        <w:rPr>
          <w:sz w:val="20"/>
          <w:szCs w:val="20"/>
        </w:rPr>
        <w:t xml:space="preserve">, Hackfleisch, Milch, Salat. </w:t>
      </w:r>
    </w:p>
    <w:p w:rsidR="00363038" w:rsidRDefault="00363038" w:rsidP="00C20259">
      <w:pPr>
        <w:pStyle w:val="Textkrper"/>
        <w:rPr>
          <w:sz w:val="20"/>
          <w:szCs w:val="20"/>
        </w:rPr>
      </w:pPr>
      <w:r>
        <w:rPr>
          <w:noProof/>
          <w:sz w:val="20"/>
          <w:szCs w:val="20"/>
        </w:rPr>
        <w:drawing>
          <wp:inline distT="0" distB="0" distL="0" distR="0">
            <wp:extent cx="3181190" cy="2375660"/>
            <wp:effectExtent l="0" t="0" r="635" b="571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20180115-WA0003.jpg"/>
                    <pic:cNvPicPr/>
                  </pic:nvPicPr>
                  <pic:blipFill rotWithShape="1">
                    <a:blip r:embed="rId8" cstate="print">
                      <a:extLst>
                        <a:ext uri="{28A0092B-C50C-407E-A947-70E740481C1C}">
                          <a14:useLocalDpi xmlns:a14="http://schemas.microsoft.com/office/drawing/2010/main" val="0"/>
                        </a:ext>
                      </a:extLst>
                    </a:blip>
                    <a:srcRect l="12943" t="20816" r="23820" b="16222"/>
                    <a:stretch/>
                  </pic:blipFill>
                  <pic:spPr bwMode="auto">
                    <a:xfrm>
                      <a:off x="0" y="0"/>
                      <a:ext cx="3204128" cy="2392790"/>
                    </a:xfrm>
                    <a:prstGeom prst="rect">
                      <a:avLst/>
                    </a:prstGeom>
                    <a:ln>
                      <a:noFill/>
                    </a:ln>
                    <a:extLst>
                      <a:ext uri="{53640926-AAD7-44D8-BBD7-CCE9431645EC}">
                        <a14:shadowObscured xmlns:a14="http://schemas.microsoft.com/office/drawing/2010/main"/>
                      </a:ext>
                    </a:extLst>
                  </pic:spPr>
                </pic:pic>
              </a:graphicData>
            </a:graphic>
          </wp:inline>
        </w:drawing>
      </w:r>
    </w:p>
    <w:p w:rsidR="00363038" w:rsidRDefault="00363038" w:rsidP="00C20259">
      <w:pPr>
        <w:pStyle w:val="Textkrper"/>
        <w:rPr>
          <w:sz w:val="20"/>
          <w:szCs w:val="20"/>
        </w:rPr>
      </w:pPr>
      <w:r>
        <w:rPr>
          <w:sz w:val="20"/>
          <w:szCs w:val="20"/>
        </w:rPr>
        <w:t>Abbildung 2: Fehling</w:t>
      </w:r>
      <w:r w:rsidR="008734D8">
        <w:rPr>
          <w:sz w:val="20"/>
          <w:szCs w:val="20"/>
        </w:rPr>
        <w:t>-</w:t>
      </w:r>
      <w:r>
        <w:rPr>
          <w:sz w:val="20"/>
          <w:szCs w:val="20"/>
        </w:rPr>
        <w:t>Probe</w:t>
      </w:r>
      <w:r w:rsidR="008734D8">
        <w:rPr>
          <w:sz w:val="20"/>
          <w:szCs w:val="20"/>
        </w:rPr>
        <w:t xml:space="preserve">-Lösungen </w:t>
      </w:r>
      <w:r>
        <w:rPr>
          <w:sz w:val="20"/>
          <w:szCs w:val="20"/>
        </w:rPr>
        <w:t xml:space="preserve">nach dem Erhitzen. </w:t>
      </w:r>
      <w:r w:rsidRPr="00363038">
        <w:rPr>
          <w:sz w:val="20"/>
          <w:szCs w:val="20"/>
        </w:rPr>
        <w:t>Von Links: Glucose, Fructose, Saccharose, Stärke</w:t>
      </w:r>
      <w:r>
        <w:rPr>
          <w:sz w:val="20"/>
          <w:szCs w:val="20"/>
        </w:rPr>
        <w:t>, Hackfleisch, Milch, Salat.</w:t>
      </w:r>
    </w:p>
    <w:p w:rsidR="00363038" w:rsidRPr="008734D8" w:rsidRDefault="00363038" w:rsidP="008734D8">
      <w:r>
        <w:br w:type="page"/>
      </w:r>
    </w:p>
    <w:p w:rsidR="00363038" w:rsidRDefault="00363038" w:rsidP="001929B1">
      <w:pPr>
        <w:pStyle w:val="Textkrper"/>
        <w:rPr>
          <w:sz w:val="20"/>
          <w:szCs w:val="20"/>
        </w:rPr>
      </w:pPr>
      <w:r>
        <w:rPr>
          <w:noProof/>
          <w:sz w:val="20"/>
          <w:szCs w:val="20"/>
        </w:rPr>
        <w:lastRenderedPageBreak/>
        <w:drawing>
          <wp:inline distT="0" distB="0" distL="0" distR="0">
            <wp:extent cx="3634548" cy="2965439"/>
            <wp:effectExtent l="0" t="0" r="4445" b="698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20180115-WA0001.jpg"/>
                    <pic:cNvPicPr/>
                  </pic:nvPicPr>
                  <pic:blipFill rotWithShape="1">
                    <a:blip r:embed="rId9">
                      <a:extLst>
                        <a:ext uri="{28A0092B-C50C-407E-A947-70E740481C1C}">
                          <a14:useLocalDpi xmlns:a14="http://schemas.microsoft.com/office/drawing/2010/main" val="0"/>
                        </a:ext>
                      </a:extLst>
                    </a:blip>
                    <a:srcRect l="23881" t="20460" r="12999" b="10880"/>
                    <a:stretch/>
                  </pic:blipFill>
                  <pic:spPr bwMode="auto">
                    <a:xfrm>
                      <a:off x="0" y="0"/>
                      <a:ext cx="3635301" cy="2966053"/>
                    </a:xfrm>
                    <a:prstGeom prst="rect">
                      <a:avLst/>
                    </a:prstGeom>
                    <a:ln>
                      <a:noFill/>
                    </a:ln>
                    <a:extLst>
                      <a:ext uri="{53640926-AAD7-44D8-BBD7-CCE9431645EC}">
                        <a14:shadowObscured xmlns:a14="http://schemas.microsoft.com/office/drawing/2010/main"/>
                      </a:ext>
                    </a:extLst>
                  </pic:spPr>
                </pic:pic>
              </a:graphicData>
            </a:graphic>
          </wp:inline>
        </w:drawing>
      </w:r>
    </w:p>
    <w:p w:rsidR="008734D8" w:rsidRDefault="008734D8" w:rsidP="001929B1">
      <w:pPr>
        <w:pStyle w:val="Textkrper"/>
        <w:rPr>
          <w:sz w:val="20"/>
          <w:szCs w:val="20"/>
        </w:rPr>
      </w:pPr>
      <w:r>
        <w:rPr>
          <w:sz w:val="20"/>
          <w:szCs w:val="20"/>
        </w:rPr>
        <w:t>Abbildung 3: Benedict-Probe-Lösungen vor dem Erhitzen. Von Links: Salat, Milch, Hackfleisch, Stärke, Saccharose, Fructose, Glucose.</w:t>
      </w:r>
    </w:p>
    <w:p w:rsidR="00F41A4D" w:rsidRDefault="00F41A4D" w:rsidP="001929B1">
      <w:pPr>
        <w:pStyle w:val="Textkrper"/>
        <w:rPr>
          <w:noProof/>
          <w:sz w:val="20"/>
          <w:szCs w:val="20"/>
        </w:rPr>
      </w:pPr>
    </w:p>
    <w:p w:rsidR="00F41A4D" w:rsidRDefault="00F41A4D" w:rsidP="001929B1">
      <w:pPr>
        <w:pStyle w:val="Textkrper"/>
        <w:rPr>
          <w:sz w:val="20"/>
          <w:szCs w:val="20"/>
        </w:rPr>
      </w:pPr>
      <w:r>
        <w:rPr>
          <w:noProof/>
          <w:sz w:val="20"/>
          <w:szCs w:val="20"/>
        </w:rPr>
        <w:drawing>
          <wp:inline distT="0" distB="0" distL="0" distR="0">
            <wp:extent cx="3971827" cy="3264849"/>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20180115-WA0002.jpg"/>
                    <pic:cNvPicPr/>
                  </pic:nvPicPr>
                  <pic:blipFill rotWithShape="1">
                    <a:blip r:embed="rId10">
                      <a:extLst>
                        <a:ext uri="{28A0092B-C50C-407E-A947-70E740481C1C}">
                          <a14:useLocalDpi xmlns:a14="http://schemas.microsoft.com/office/drawing/2010/main" val="0"/>
                        </a:ext>
                      </a:extLst>
                    </a:blip>
                    <a:srcRect l="12811" t="5692" r="18210" b="18712"/>
                    <a:stretch/>
                  </pic:blipFill>
                  <pic:spPr bwMode="auto">
                    <a:xfrm>
                      <a:off x="0" y="0"/>
                      <a:ext cx="3972847" cy="3265687"/>
                    </a:xfrm>
                    <a:prstGeom prst="rect">
                      <a:avLst/>
                    </a:prstGeom>
                    <a:ln>
                      <a:noFill/>
                    </a:ln>
                    <a:extLst>
                      <a:ext uri="{53640926-AAD7-44D8-BBD7-CCE9431645EC}">
                        <a14:shadowObscured xmlns:a14="http://schemas.microsoft.com/office/drawing/2010/main"/>
                      </a:ext>
                    </a:extLst>
                  </pic:spPr>
                </pic:pic>
              </a:graphicData>
            </a:graphic>
          </wp:inline>
        </w:drawing>
      </w:r>
    </w:p>
    <w:p w:rsidR="00F41A4D" w:rsidRDefault="00F41A4D" w:rsidP="001929B1">
      <w:pPr>
        <w:pStyle w:val="Textkrper"/>
        <w:rPr>
          <w:sz w:val="20"/>
          <w:szCs w:val="20"/>
        </w:rPr>
      </w:pPr>
      <w:r>
        <w:rPr>
          <w:sz w:val="20"/>
          <w:szCs w:val="20"/>
        </w:rPr>
        <w:t>Abbildung 4: Benedict-Probe-Lösungen nach dem Erhitzen. Von Links: Salat, Milch, Hackfleisch, Stärke, Saccharose, Fructose, Glucose.</w:t>
      </w:r>
    </w:p>
    <w:p w:rsidR="001239A7" w:rsidRDefault="001239A7" w:rsidP="001929B1">
      <w:pPr>
        <w:pStyle w:val="Textkrper"/>
        <w:rPr>
          <w:sz w:val="20"/>
          <w:szCs w:val="20"/>
        </w:rPr>
      </w:pPr>
    </w:p>
    <w:p w:rsidR="001239A7" w:rsidRDefault="001239A7" w:rsidP="001929B1">
      <w:pPr>
        <w:pStyle w:val="Textkrper"/>
        <w:rPr>
          <w:sz w:val="20"/>
          <w:szCs w:val="20"/>
        </w:rPr>
      </w:pPr>
    </w:p>
    <w:p w:rsidR="001929B1" w:rsidRPr="00C20259" w:rsidRDefault="001929B1" w:rsidP="001929B1">
      <w:pPr>
        <w:pStyle w:val="Textkrper"/>
        <w:rPr>
          <w:sz w:val="20"/>
          <w:szCs w:val="20"/>
        </w:rPr>
      </w:pPr>
      <w:r w:rsidRPr="00C20259">
        <w:rPr>
          <w:sz w:val="20"/>
          <w:szCs w:val="20"/>
        </w:rPr>
        <w:lastRenderedPageBreak/>
        <w:t xml:space="preserve">Tabelle1: </w:t>
      </w:r>
      <w:r w:rsidR="00E14FD4">
        <w:rPr>
          <w:sz w:val="20"/>
          <w:szCs w:val="20"/>
        </w:rPr>
        <w:t>Ergebnisse d</w:t>
      </w:r>
      <w:r w:rsidR="005A532C">
        <w:rPr>
          <w:sz w:val="20"/>
          <w:szCs w:val="20"/>
        </w:rPr>
        <w:t>er Analyse verschiedener Zucker, mithilfe der Fehling- und Benedict-Probe, auf einen reduzierenden Effekt. Die Benedict-Probe zeigt verschiede</w:t>
      </w:r>
      <w:r w:rsidR="00AA4D93">
        <w:rPr>
          <w:sz w:val="20"/>
          <w:szCs w:val="20"/>
        </w:rPr>
        <w:t>nfarbige Trübungen</w:t>
      </w:r>
      <w:r w:rsidR="005A532C">
        <w:rPr>
          <w:sz w:val="20"/>
          <w:szCs w:val="20"/>
        </w:rPr>
        <w:t xml:space="preserve">, die eine grobe Aussage über die Anteile des reduzierenden Zuckers in der Lösung geben: </w:t>
      </w:r>
      <w:r w:rsidR="00060041">
        <w:rPr>
          <w:sz w:val="20"/>
          <w:szCs w:val="20"/>
        </w:rPr>
        <w:t xml:space="preserve">grün &lt; 0,1 %; </w:t>
      </w:r>
      <w:proofErr w:type="gramStart"/>
      <w:r w:rsidR="00060041">
        <w:rPr>
          <w:sz w:val="20"/>
          <w:szCs w:val="20"/>
        </w:rPr>
        <w:t>gelb-grün</w:t>
      </w:r>
      <w:proofErr w:type="gramEnd"/>
      <w:r w:rsidR="00060041">
        <w:rPr>
          <w:sz w:val="20"/>
          <w:szCs w:val="20"/>
        </w:rPr>
        <w:t xml:space="preserve"> = 0,2 % – 0,3 %; gelb-orange = 0,5 %; ziegelrot = &gt; 1 %. Bei einer blauen Farbe hat keine Reaktion stattgefunden. </w:t>
      </w:r>
    </w:p>
    <w:tbl>
      <w:tblPr>
        <w:tblStyle w:val="Tabellenraster"/>
        <w:tblW w:w="0" w:type="auto"/>
        <w:tblLook w:val="04A0" w:firstRow="1" w:lastRow="0" w:firstColumn="1" w:lastColumn="0" w:noHBand="0" w:noVBand="1"/>
      </w:tblPr>
      <w:tblGrid>
        <w:gridCol w:w="1809"/>
        <w:gridCol w:w="2209"/>
        <w:gridCol w:w="2327"/>
      </w:tblGrid>
      <w:tr w:rsidR="001929B1" w:rsidTr="00AA4D93">
        <w:trPr>
          <w:trHeight w:val="454"/>
        </w:trPr>
        <w:tc>
          <w:tcPr>
            <w:tcW w:w="1809" w:type="dxa"/>
            <w:tcBorders>
              <w:top w:val="nil"/>
              <w:left w:val="nil"/>
              <w:bottom w:val="single" w:sz="4" w:space="0" w:color="auto"/>
              <w:right w:val="single" w:sz="4" w:space="0" w:color="auto"/>
            </w:tcBorders>
            <w:vAlign w:val="center"/>
          </w:tcPr>
          <w:p w:rsidR="001929B1" w:rsidRDefault="001929B1" w:rsidP="00AA4D93"/>
        </w:tc>
        <w:tc>
          <w:tcPr>
            <w:tcW w:w="2209" w:type="dxa"/>
            <w:tcBorders>
              <w:left w:val="single" w:sz="4" w:space="0" w:color="auto"/>
            </w:tcBorders>
            <w:vAlign w:val="center"/>
          </w:tcPr>
          <w:p w:rsidR="001929B1" w:rsidRDefault="001929B1" w:rsidP="00AA4D93">
            <w:r>
              <w:t>Fehling Probe</w:t>
            </w:r>
          </w:p>
        </w:tc>
        <w:tc>
          <w:tcPr>
            <w:tcW w:w="2327" w:type="dxa"/>
            <w:vAlign w:val="center"/>
          </w:tcPr>
          <w:p w:rsidR="001929B1" w:rsidRDefault="001929B1" w:rsidP="00AA4D93">
            <w:r>
              <w:t>Benedict Probe</w:t>
            </w:r>
          </w:p>
        </w:tc>
      </w:tr>
      <w:tr w:rsidR="001929B1" w:rsidTr="00AA4D93">
        <w:trPr>
          <w:trHeight w:val="454"/>
        </w:trPr>
        <w:tc>
          <w:tcPr>
            <w:tcW w:w="1809" w:type="dxa"/>
            <w:vAlign w:val="center"/>
          </w:tcPr>
          <w:p w:rsidR="001929B1" w:rsidRDefault="001929B1" w:rsidP="00AA4D93">
            <w:r>
              <w:t>Glucose</w:t>
            </w:r>
          </w:p>
        </w:tc>
        <w:tc>
          <w:tcPr>
            <w:tcW w:w="2209" w:type="dxa"/>
            <w:vAlign w:val="center"/>
          </w:tcPr>
          <w:p w:rsidR="001929B1" w:rsidRDefault="00AA4D93" w:rsidP="000129F3">
            <w:pPr>
              <w:jc w:val="center"/>
            </w:pPr>
            <w:r>
              <w:t>+</w:t>
            </w:r>
          </w:p>
        </w:tc>
        <w:tc>
          <w:tcPr>
            <w:tcW w:w="2327" w:type="dxa"/>
            <w:vAlign w:val="center"/>
          </w:tcPr>
          <w:p w:rsidR="001929B1" w:rsidRDefault="00AA4D93" w:rsidP="00AA4D93">
            <w:pPr>
              <w:ind w:left="720"/>
            </w:pPr>
            <w:r>
              <w:t>&gt; 1 %</w:t>
            </w:r>
          </w:p>
        </w:tc>
      </w:tr>
      <w:tr w:rsidR="001929B1" w:rsidTr="00AA4D93">
        <w:trPr>
          <w:trHeight w:val="454"/>
        </w:trPr>
        <w:tc>
          <w:tcPr>
            <w:tcW w:w="1809" w:type="dxa"/>
            <w:vAlign w:val="center"/>
          </w:tcPr>
          <w:p w:rsidR="001929B1" w:rsidRDefault="001929B1" w:rsidP="00AA4D93">
            <w:r>
              <w:t>Fructose</w:t>
            </w:r>
          </w:p>
        </w:tc>
        <w:tc>
          <w:tcPr>
            <w:tcW w:w="2209" w:type="dxa"/>
            <w:vAlign w:val="center"/>
          </w:tcPr>
          <w:p w:rsidR="001929B1" w:rsidRDefault="00AA4D93" w:rsidP="000129F3">
            <w:pPr>
              <w:jc w:val="center"/>
            </w:pPr>
            <w:r>
              <w:t>+</w:t>
            </w:r>
          </w:p>
        </w:tc>
        <w:tc>
          <w:tcPr>
            <w:tcW w:w="2327" w:type="dxa"/>
            <w:vAlign w:val="center"/>
          </w:tcPr>
          <w:p w:rsidR="001929B1" w:rsidRDefault="00AA4D93" w:rsidP="00AA4D93">
            <w:pPr>
              <w:jc w:val="center"/>
            </w:pPr>
            <w:r>
              <w:t>&gt; 1 %</w:t>
            </w:r>
          </w:p>
        </w:tc>
      </w:tr>
      <w:tr w:rsidR="001929B1" w:rsidTr="00AA4D93">
        <w:trPr>
          <w:trHeight w:val="454"/>
        </w:trPr>
        <w:tc>
          <w:tcPr>
            <w:tcW w:w="1809" w:type="dxa"/>
            <w:vAlign w:val="center"/>
          </w:tcPr>
          <w:p w:rsidR="001929B1" w:rsidRDefault="001929B1" w:rsidP="00AA4D93">
            <w:r>
              <w:t>Saccharose</w:t>
            </w:r>
          </w:p>
        </w:tc>
        <w:tc>
          <w:tcPr>
            <w:tcW w:w="2209" w:type="dxa"/>
            <w:vAlign w:val="center"/>
          </w:tcPr>
          <w:p w:rsidR="001929B1" w:rsidRDefault="00AA4D93" w:rsidP="000129F3">
            <w:pPr>
              <w:jc w:val="center"/>
            </w:pPr>
            <w:r>
              <w:t>-</w:t>
            </w:r>
          </w:p>
        </w:tc>
        <w:tc>
          <w:tcPr>
            <w:tcW w:w="2327" w:type="dxa"/>
            <w:vAlign w:val="center"/>
          </w:tcPr>
          <w:p w:rsidR="001929B1" w:rsidRDefault="00AA4D93" w:rsidP="00AA4D93">
            <w:pPr>
              <w:jc w:val="center"/>
            </w:pPr>
            <w:r>
              <w:t>0 %</w:t>
            </w:r>
          </w:p>
        </w:tc>
      </w:tr>
      <w:tr w:rsidR="001929B1" w:rsidTr="00AA4D93">
        <w:trPr>
          <w:trHeight w:val="454"/>
        </w:trPr>
        <w:tc>
          <w:tcPr>
            <w:tcW w:w="1809" w:type="dxa"/>
            <w:vAlign w:val="center"/>
          </w:tcPr>
          <w:p w:rsidR="001929B1" w:rsidRDefault="001929B1" w:rsidP="00AA4D93">
            <w:r>
              <w:t>Stärke</w:t>
            </w:r>
          </w:p>
        </w:tc>
        <w:tc>
          <w:tcPr>
            <w:tcW w:w="2209" w:type="dxa"/>
            <w:vAlign w:val="center"/>
          </w:tcPr>
          <w:p w:rsidR="001929B1" w:rsidRDefault="00AA4D93" w:rsidP="000129F3">
            <w:pPr>
              <w:jc w:val="center"/>
            </w:pPr>
            <w:r>
              <w:t>-</w:t>
            </w:r>
          </w:p>
        </w:tc>
        <w:tc>
          <w:tcPr>
            <w:tcW w:w="2327" w:type="dxa"/>
            <w:vAlign w:val="center"/>
          </w:tcPr>
          <w:p w:rsidR="001929B1" w:rsidRDefault="00AA4D93" w:rsidP="00AA4D93">
            <w:pPr>
              <w:jc w:val="center"/>
            </w:pPr>
            <w:r>
              <w:t>0 %</w:t>
            </w:r>
          </w:p>
        </w:tc>
      </w:tr>
      <w:tr w:rsidR="001929B1" w:rsidTr="00AA4D93">
        <w:trPr>
          <w:trHeight w:val="454"/>
        </w:trPr>
        <w:tc>
          <w:tcPr>
            <w:tcW w:w="1809" w:type="dxa"/>
            <w:vAlign w:val="center"/>
          </w:tcPr>
          <w:p w:rsidR="001929B1" w:rsidRDefault="00AA4D93" w:rsidP="00AA4D93">
            <w:r>
              <w:t>Hackfleisch</w:t>
            </w:r>
          </w:p>
        </w:tc>
        <w:tc>
          <w:tcPr>
            <w:tcW w:w="2209" w:type="dxa"/>
            <w:vAlign w:val="center"/>
          </w:tcPr>
          <w:p w:rsidR="001929B1" w:rsidRDefault="00AA4D93" w:rsidP="000129F3">
            <w:pPr>
              <w:jc w:val="center"/>
            </w:pPr>
            <w:r>
              <w:t>-</w:t>
            </w:r>
          </w:p>
        </w:tc>
        <w:tc>
          <w:tcPr>
            <w:tcW w:w="2327" w:type="dxa"/>
            <w:vAlign w:val="center"/>
          </w:tcPr>
          <w:p w:rsidR="001929B1" w:rsidRDefault="00AA4D93" w:rsidP="00AA4D93">
            <w:pPr>
              <w:jc w:val="center"/>
            </w:pPr>
            <w:r>
              <w:t>0 %</w:t>
            </w:r>
          </w:p>
        </w:tc>
      </w:tr>
      <w:tr w:rsidR="001929B1" w:rsidTr="00AA4D93">
        <w:trPr>
          <w:trHeight w:val="454"/>
        </w:trPr>
        <w:tc>
          <w:tcPr>
            <w:tcW w:w="1809" w:type="dxa"/>
            <w:vAlign w:val="center"/>
          </w:tcPr>
          <w:p w:rsidR="001929B1" w:rsidRDefault="00AA4D93" w:rsidP="00AA4D93">
            <w:r>
              <w:t>Milch</w:t>
            </w:r>
          </w:p>
        </w:tc>
        <w:tc>
          <w:tcPr>
            <w:tcW w:w="2209" w:type="dxa"/>
            <w:vAlign w:val="center"/>
          </w:tcPr>
          <w:p w:rsidR="001929B1" w:rsidRDefault="00AA4D93" w:rsidP="000129F3">
            <w:pPr>
              <w:jc w:val="center"/>
            </w:pPr>
            <w:r>
              <w:t>+</w:t>
            </w:r>
          </w:p>
        </w:tc>
        <w:tc>
          <w:tcPr>
            <w:tcW w:w="2327" w:type="dxa"/>
            <w:vAlign w:val="center"/>
          </w:tcPr>
          <w:p w:rsidR="001929B1" w:rsidRDefault="00AA4D93" w:rsidP="00AA4D93">
            <w:pPr>
              <w:jc w:val="center"/>
            </w:pPr>
            <w:r>
              <w:t>0,5 %</w:t>
            </w:r>
          </w:p>
        </w:tc>
      </w:tr>
      <w:tr w:rsidR="001929B1" w:rsidTr="00AA4D93">
        <w:trPr>
          <w:trHeight w:val="454"/>
        </w:trPr>
        <w:tc>
          <w:tcPr>
            <w:tcW w:w="1809" w:type="dxa"/>
            <w:vAlign w:val="center"/>
          </w:tcPr>
          <w:p w:rsidR="001929B1" w:rsidRDefault="001929B1" w:rsidP="00AA4D93">
            <w:r>
              <w:t>Salat</w:t>
            </w:r>
          </w:p>
        </w:tc>
        <w:tc>
          <w:tcPr>
            <w:tcW w:w="2209" w:type="dxa"/>
            <w:vAlign w:val="center"/>
          </w:tcPr>
          <w:p w:rsidR="001929B1" w:rsidRDefault="00AA4D93" w:rsidP="000129F3">
            <w:pPr>
              <w:jc w:val="center"/>
            </w:pPr>
            <w:r>
              <w:t>+</w:t>
            </w:r>
          </w:p>
        </w:tc>
        <w:tc>
          <w:tcPr>
            <w:tcW w:w="2327" w:type="dxa"/>
            <w:vAlign w:val="center"/>
          </w:tcPr>
          <w:p w:rsidR="001929B1" w:rsidRDefault="00DD6BA0" w:rsidP="00AA4D93">
            <w:pPr>
              <w:jc w:val="center"/>
            </w:pPr>
            <w:r>
              <w:t>0,</w:t>
            </w:r>
            <w:r w:rsidR="00532819">
              <w:t>2</w:t>
            </w:r>
            <w:r>
              <w:t xml:space="preserve"> %</w:t>
            </w:r>
            <w:r w:rsidR="00532819">
              <w:t xml:space="preserve"> - 0,3 %</w:t>
            </w:r>
          </w:p>
        </w:tc>
      </w:tr>
    </w:tbl>
    <w:p w:rsidR="001320BD" w:rsidRDefault="001320BD" w:rsidP="001320BD">
      <w:pPr>
        <w:pStyle w:val="Textkrper"/>
      </w:pPr>
    </w:p>
    <w:p w:rsidR="00DD6BA0" w:rsidRDefault="00A70D96" w:rsidP="001320BD">
      <w:pPr>
        <w:pStyle w:val="Textkrper"/>
      </w:pPr>
      <w:r>
        <w:t xml:space="preserve">Mit </w:t>
      </w:r>
      <w:r w:rsidR="00532819">
        <w:t>beiden Versuchen konnten</w:t>
      </w:r>
      <w:r>
        <w:t xml:space="preserve"> reduzierende Zucker in den selben Lösungen nachgewiesen</w:t>
      </w:r>
      <w:r w:rsidR="00532819">
        <w:t xml:space="preserve"> werden</w:t>
      </w:r>
      <w:r>
        <w:t>. Die größten Effekte konnten bei beiden Versuchen bei Glucose und Fructose beobachtet werden. Der größte Niederschlag durch d</w:t>
      </w:r>
      <w:r w:rsidR="00544CE3">
        <w:t>as</w:t>
      </w:r>
      <w:r>
        <w:t xml:space="preserve"> Fehling-Reagenz </w:t>
      </w:r>
      <w:r w:rsidR="00DD6BA0">
        <w:t>wurde</w:t>
      </w:r>
      <w:r>
        <w:t xml:space="preserve"> bei der Glucose-Lösung</w:t>
      </w:r>
      <w:r w:rsidR="00DD6BA0">
        <w:t xml:space="preserve"> beobachtet</w:t>
      </w:r>
      <w:r w:rsidR="00346503">
        <w:t xml:space="preserve"> (Abb. 2)</w:t>
      </w:r>
      <w:r w:rsidR="00DD6BA0">
        <w:t xml:space="preserve">. </w:t>
      </w:r>
    </w:p>
    <w:p w:rsidR="00532819" w:rsidRDefault="00DD6BA0" w:rsidP="001320BD">
      <w:pPr>
        <w:pStyle w:val="Textkrper"/>
      </w:pPr>
      <w:r>
        <w:t>Schwer zu erkennen ist, ob ein Niederschlag beim Hackfleisch durch d</w:t>
      </w:r>
      <w:r w:rsidR="00544CE3">
        <w:t>as</w:t>
      </w:r>
      <w:r>
        <w:t xml:space="preserve"> Fehling-Reagenz entstanden ist. Die Probe war bereits vor dem Erhitzen stark dunkelblau</w:t>
      </w:r>
      <w:r w:rsidR="00346503">
        <w:t xml:space="preserve"> (Abb. 1)</w:t>
      </w:r>
      <w:r>
        <w:t xml:space="preserve">, sodass keine Veränderung nach dem Erhitzen festzustellen war. Da die Farben vorher und nachher fast identisch sind und der Versuch mit dem Benedict-Reagenz keine Veränderung aufwies </w:t>
      </w:r>
      <w:r w:rsidR="00346503">
        <w:t xml:space="preserve">(Abb. 4) </w:t>
      </w:r>
      <w:r>
        <w:t xml:space="preserve">wurde auch bei Fehling auf ein negatives Ergebnis geschlossen. </w:t>
      </w:r>
    </w:p>
    <w:p w:rsidR="000D6D77" w:rsidRDefault="000D6D77" w:rsidP="001320BD">
      <w:pPr>
        <w:pStyle w:val="Textkrper"/>
      </w:pPr>
    </w:p>
    <w:p w:rsidR="000D6D77" w:rsidRDefault="000D6D77" w:rsidP="001320BD">
      <w:pPr>
        <w:pStyle w:val="Textkrper"/>
      </w:pPr>
    </w:p>
    <w:p w:rsidR="000D6D77" w:rsidRDefault="000D6D77" w:rsidP="001320BD">
      <w:pPr>
        <w:pStyle w:val="Textkrper"/>
      </w:pPr>
    </w:p>
    <w:p w:rsidR="000D6D77" w:rsidRDefault="000D6D77" w:rsidP="001320BD">
      <w:pPr>
        <w:pStyle w:val="Textkrper"/>
      </w:pPr>
    </w:p>
    <w:p w:rsidR="000D6D77" w:rsidRDefault="000D6D77" w:rsidP="001320BD">
      <w:pPr>
        <w:pStyle w:val="Textkrper"/>
      </w:pPr>
    </w:p>
    <w:p w:rsidR="000D6D77" w:rsidRDefault="000D6D77" w:rsidP="001320BD">
      <w:pPr>
        <w:pStyle w:val="Textkrper"/>
      </w:pPr>
      <w:bookmarkStart w:id="0" w:name="_GoBack"/>
      <w:bookmarkEnd w:id="0"/>
    </w:p>
    <w:p w:rsidR="003E55D5" w:rsidRDefault="001320BD" w:rsidP="002C2026">
      <w:pPr>
        <w:pStyle w:val="berschrift1"/>
      </w:pPr>
      <w:r>
        <w:lastRenderedPageBreak/>
        <w:t>Diskussion</w:t>
      </w:r>
    </w:p>
    <w:p w:rsidR="00532819" w:rsidRDefault="005D6ABB" w:rsidP="00532819">
      <w:pPr>
        <w:pStyle w:val="Textkrper"/>
      </w:pPr>
      <w:r>
        <w:t xml:space="preserve">Reduzierende Zucker sind allgemein immer Aldosen. Also Zucker, bei denen am ersten Kohlenstoff eine Oxidierung stattfand und ein Aldehyd entstand. Dieses verband sich mit einem Sauerstoff zu einem Halbacetal und bildet so das bekannte 6- oder 5-Ringsystem eines Zuckers. Zucker in Wasser gelöst öffnen ständig das Halbacetal und schließen es wieder. Dabei entstehen </w:t>
      </w:r>
      <w:r>
        <w:rPr>
          <w:rFonts w:cs="Arial"/>
        </w:rPr>
        <w:t>α</w:t>
      </w:r>
      <w:r>
        <w:t xml:space="preserve">- und </w:t>
      </w:r>
      <w:r>
        <w:rPr>
          <w:rFonts w:cs="Arial"/>
        </w:rPr>
        <w:t>β</w:t>
      </w:r>
      <w:r>
        <w:t xml:space="preserve">-Anomere. Der geöffnete Zucker besitzt weiterhin eine Aldehyd-Gruppe. Diese hat die Eigenschaft sich ein weiters mal zu oxidieren. Dabei reduziert sie ihren Reaktionspartner. Aldosen sind alle Zucker mit einer Aldehyd-Gruppe. </w:t>
      </w:r>
    </w:p>
    <w:p w:rsidR="00A80955" w:rsidRDefault="006B4881" w:rsidP="00532819">
      <w:pPr>
        <w:pStyle w:val="Textkrper"/>
      </w:pPr>
      <w:r>
        <w:t xml:space="preserve">Eine Ausnahme ist die Fructose. Diese gehört zu den Ketosen und nicht den Aldosen. Sie besitzt eine Keto-Gruppe statt einer Aldehyd-Gruppe. </w:t>
      </w:r>
      <w:r w:rsidR="002516A3">
        <w:t xml:space="preserve">Es gibt mehrere Gründe für den reduzierenden Effekt der Fructose. Zum einen ist es ein </w:t>
      </w:r>
      <w:r w:rsidR="002516A3">
        <w:rPr>
          <w:rFonts w:cs="Arial"/>
        </w:rPr>
        <w:t>α</w:t>
      </w:r>
      <w:r w:rsidR="002516A3">
        <w:t xml:space="preserve">-Hydroxyketon. Dieses kann sich in alkalischen Lösungen obwohl es ein Keton ist zu einem Diketon oxidieren. Ein weiterer Grund ist die Möglichkeit von Fructose sich im alkalischen Milieu zu Mannose und Glucose umzuwandeln. Es entsteht ein Gleichgewicht zwischen allen drei Zuckern in der Lösung. Mannose und Glucose sind beide Aldosen und demnach reduzierende Zucker. </w:t>
      </w:r>
    </w:p>
    <w:p w:rsidR="00745E75" w:rsidRDefault="00745E75" w:rsidP="00532819">
      <w:pPr>
        <w:pStyle w:val="Textkrper"/>
      </w:pPr>
      <w:r>
        <w:t xml:space="preserve">Saccharose ist ein Disaccharid, dass aus einem </w:t>
      </w:r>
      <w:r>
        <w:rPr>
          <w:rFonts w:cs="Arial"/>
        </w:rPr>
        <w:t>α</w:t>
      </w:r>
      <w:r>
        <w:t xml:space="preserve">-Glucose- und einem </w:t>
      </w:r>
      <w:r>
        <w:rPr>
          <w:rFonts w:cs="Arial"/>
        </w:rPr>
        <w:t>β</w:t>
      </w:r>
      <w:r>
        <w:t>-Fructose-Molekül besteht. Sie sind für das Glucose-Molekül am 1. Kohlenstoff und für das Fructose-Molekül am 2. Kohlenstoff verbunden. Durch die Verbindung am 1. Kohlenstoff verliert das Glucose-Molekül sein Halbacetal und damit seinen reduzierenden Effekt. Auch die Fructose verliert ihre Fähigkeit sich umzuwandeln und ih</w:t>
      </w:r>
      <w:r w:rsidR="001D781B">
        <w:t xml:space="preserve">re Keto-Gruppe liegt nicht mehr frei. Beide Zucker verlieren in der Verbindung ihre reduzierende Wirkung. </w:t>
      </w:r>
    </w:p>
    <w:p w:rsidR="00110819" w:rsidRDefault="00110819" w:rsidP="00532819">
      <w:pPr>
        <w:pStyle w:val="Textkrper"/>
      </w:pPr>
      <w:r>
        <w:t xml:space="preserve">Die pflanzliche Stärke besteht zu 20 – 30 % aus </w:t>
      </w:r>
      <w:r>
        <w:rPr>
          <w:rFonts w:cs="Arial"/>
        </w:rPr>
        <w:t>α</w:t>
      </w:r>
      <w:r>
        <w:t xml:space="preserve">-Amylose und zu 70 – 80 % aus Amylopektin. Beide Teile bestehen aus </w:t>
      </w:r>
      <w:r>
        <w:rPr>
          <w:rFonts w:cs="Arial"/>
        </w:rPr>
        <w:t>α</w:t>
      </w:r>
      <w:r>
        <w:t xml:space="preserve">-Glucose. Diese ist immer am 1. Kohlenstoff verbunden und bildet lange Ketten. Dadurch, dass das 1. Kohlenstoff und damit das Halbacetat verbunden ist, ist die reduzierende Wirkung bis auf das letzte Glucose-Molekül geblockt. Diese kleine Menge an reduzierenden Glucose-Molekülen reicht nicht für einen Nachweis bei diesen beiden Versuchen aus. </w:t>
      </w:r>
    </w:p>
    <w:p w:rsidR="00110819" w:rsidRDefault="00FA5A34" w:rsidP="00532819">
      <w:pPr>
        <w:pStyle w:val="Textkrper"/>
      </w:pPr>
      <w:r>
        <w:t xml:space="preserve">Hackfleisch besteht vor allem aus Muskelfleisch und Fett. </w:t>
      </w:r>
      <w:r w:rsidR="00910FE1">
        <w:t xml:space="preserve">Nach den EU-Richtlinien nicht mehr als 30 % Fett. Das Muskelfleisch besteht weitestgehend aus Muskelzellen. Diese besitzen nur das nötigste an Glucose, was für sie gebraucht wird. </w:t>
      </w:r>
    </w:p>
    <w:p w:rsidR="00910FE1" w:rsidRDefault="00AE181A" w:rsidP="00532819">
      <w:pPr>
        <w:pStyle w:val="Textkrper"/>
      </w:pPr>
      <w:r>
        <w:t xml:space="preserve">Milch enthält Milchzucker oder Lactose. Lactose ist ein Disaccharid wie Saccharose. Anders als Saccharose besteht es aus einem β-Galactose- und einem β-Glucose-Molekül. Diese </w:t>
      </w:r>
      <w:r>
        <w:lastRenderedPageBreak/>
        <w:t xml:space="preserve">sind jeweils am 1. und 4. Kohlenstoff miteinander verbunden. Das lässt am Glucose-Molekül das Halbacetal offen und gewährt so eine reduzierende Wirkung. </w:t>
      </w:r>
    </w:p>
    <w:p w:rsidR="00AE181A" w:rsidRDefault="00AE181A" w:rsidP="00532819">
      <w:pPr>
        <w:pStyle w:val="Textkrper"/>
      </w:pPr>
      <w:r>
        <w:t xml:space="preserve">Für die Salat-Probe wurden Salatblätter verwendet. Diese benutzt die Pflanze zu Zuckerproduktion. Teile des Zuckers werden an Speicherorgane der Pflanze weitergeleitet. Die gefundene Menge an reduzierenden Zuckern ist von den positiven Proben am geringsten. Sehr wahrscheinlich sind dies Zucker, welche noch nicht zu Stärke umgewandelt oder für schnelle Verwendung als Glucose gespeichert wurden. Ein Teil des Zuckers könnte aus den Chloroplasten stammen, die noch </w:t>
      </w:r>
      <w:r w:rsidR="00AE4D2F">
        <w:t xml:space="preserve">gerade erst produzierte und noch nicht umgewandelte Glucose enthalten. </w:t>
      </w:r>
    </w:p>
    <w:p w:rsidR="00A80955" w:rsidRPr="00532819" w:rsidRDefault="00A80955" w:rsidP="00532819">
      <w:pPr>
        <w:pStyle w:val="Textkrper"/>
      </w:pPr>
    </w:p>
    <w:p w:rsidR="00741129" w:rsidRDefault="00741129" w:rsidP="00741129">
      <w:pPr>
        <w:pStyle w:val="Textkrper"/>
      </w:pPr>
    </w:p>
    <w:p w:rsidR="00354218" w:rsidRDefault="001320BD" w:rsidP="00354218">
      <w:r>
        <w:tab/>
      </w:r>
      <w:r>
        <w:tab/>
      </w:r>
      <w:r>
        <w:tab/>
      </w:r>
      <w:r>
        <w:tab/>
      </w:r>
      <w:r>
        <w:tab/>
      </w:r>
      <w:r w:rsidR="007A3F1B">
        <w:tab/>
      </w:r>
      <w:r w:rsidR="00D27CB7">
        <w:t>____</w:t>
      </w:r>
      <w:r w:rsidR="00354218">
        <w:t>_________________________</w:t>
      </w:r>
      <w:r w:rsidR="00D27CB7">
        <w:t>______</w:t>
      </w:r>
    </w:p>
    <w:p w:rsidR="00354218" w:rsidRDefault="003D781B" w:rsidP="00354218">
      <w:r>
        <w:rPr>
          <w:noProof/>
        </w:rPr>
        <mc:AlternateContent>
          <mc:Choice Requires="wps">
            <w:drawing>
              <wp:anchor distT="0" distB="0" distL="114300" distR="114300" simplePos="0" relativeHeight="251662848" behindDoc="1" locked="0" layoutInCell="1" allowOverlap="1" wp14:anchorId="7E817770" wp14:editId="47CFFBCC">
                <wp:simplePos x="0" y="0"/>
                <wp:positionH relativeFrom="column">
                  <wp:posOffset>9525</wp:posOffset>
                </wp:positionH>
                <wp:positionV relativeFrom="paragraph">
                  <wp:posOffset>119380</wp:posOffset>
                </wp:positionV>
                <wp:extent cx="2247900" cy="581025"/>
                <wp:effectExtent l="0" t="0" r="19050" b="28575"/>
                <wp:wrapTight wrapText="bothSides">
                  <wp:wrapPolygon edited="0">
                    <wp:start x="0" y="0"/>
                    <wp:lineTo x="0" y="21954"/>
                    <wp:lineTo x="21600" y="21954"/>
                    <wp:lineTo x="21600" y="0"/>
                    <wp:lineTo x="0" y="0"/>
                  </wp:wrapPolygon>
                </wp:wrapTight>
                <wp:docPr id="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581025"/>
                        </a:xfrm>
                        <a:prstGeom prst="rect">
                          <a:avLst/>
                        </a:prstGeom>
                        <a:solidFill>
                          <a:srgbClr val="FFFFFF"/>
                        </a:solidFill>
                        <a:ln w="9525">
                          <a:solidFill>
                            <a:srgbClr val="000000"/>
                          </a:solidFill>
                          <a:miter lim="800000"/>
                          <a:headEnd/>
                          <a:tailEnd/>
                        </a:ln>
                      </wps:spPr>
                      <wps:txbx>
                        <w:txbxContent>
                          <w:p w:rsidR="00AE181A" w:rsidRPr="00CF00B3" w:rsidRDefault="00AE181A" w:rsidP="00CF00B3">
                            <w:pPr>
                              <w:spacing w:before="240" w:line="360" w:lineRule="auto"/>
                              <w:rPr>
                                <w:sz w:val="28"/>
                              </w:rPr>
                            </w:pPr>
                            <w:r w:rsidRPr="00CF00B3">
                              <w:rPr>
                                <w:sz w:val="28"/>
                              </w:rPr>
                              <w:t>Protokollnote: ____</w:t>
                            </w:r>
                            <w:r>
                              <w:rPr>
                                <w:sz w:val="28"/>
                              </w:rPr>
                              <w:t>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817770" id="_x0000_t202" coordsize="21600,21600" o:spt="202" path="m,l,21600r21600,l21600,xe">
                <v:stroke joinstyle="miter"/>
                <v:path gradientshapeok="t" o:connecttype="rect"/>
              </v:shapetype>
              <v:shape id="Text Box 24" o:spid="_x0000_s1026" type="#_x0000_t202" style="position:absolute;margin-left:.75pt;margin-top:9.4pt;width:177pt;height:45.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">
                <v:textbox>
                  <w:txbxContent>
                    <w:p w:rsidR="00AE181A" w:rsidRPr="00CF00B3" w:rsidRDefault="00AE181A" w:rsidP="00CF00B3">
                      <w:pPr>
                        <w:spacing w:before="240" w:line="360" w:lineRule="auto"/>
                        <w:rPr>
                          <w:sz w:val="28"/>
                        </w:rPr>
                      </w:pPr>
                      <w:r w:rsidRPr="00CF00B3">
                        <w:rPr>
                          <w:sz w:val="28"/>
                        </w:rPr>
                        <w:t>Protokollnote: ____</w:t>
                      </w:r>
                      <w:r>
                        <w:rPr>
                          <w:sz w:val="28"/>
                        </w:rPr>
                        <w:t>___</w:t>
                      </w:r>
                    </w:p>
                  </w:txbxContent>
                </v:textbox>
                <w10:wrap type="tight"/>
              </v:shape>
            </w:pict>
          </mc:Fallback>
        </mc:AlternateContent>
      </w:r>
      <w:r w:rsidR="00354218">
        <w:tab/>
      </w:r>
      <w:r>
        <w:tab/>
      </w:r>
      <w:r>
        <w:tab/>
      </w:r>
      <w:r>
        <w:tab/>
      </w:r>
      <w:r w:rsidR="00354218">
        <w:t>Datum, Unterschrift</w:t>
      </w:r>
      <w:r w:rsidR="0089172B">
        <w:t>en</w:t>
      </w:r>
    </w:p>
    <w:p w:rsidR="00CF00B3" w:rsidRDefault="00CF00B3" w:rsidP="00CF00B3">
      <w:pPr>
        <w:pStyle w:val="Textkrper"/>
      </w:pPr>
    </w:p>
    <w:p w:rsidR="00CF00B3" w:rsidRPr="00354218" w:rsidRDefault="00CF00B3" w:rsidP="00CF00B3">
      <w:pPr>
        <w:pStyle w:val="Textkrper"/>
      </w:pPr>
    </w:p>
    <w:sectPr w:rsidR="00CF00B3" w:rsidRPr="00354218" w:rsidSect="007D7A54">
      <w:headerReference w:type="default" r:id="rId11"/>
      <w:footerReference w:type="default" r:id="rId12"/>
      <w:pgSz w:w="11906" w:h="16838" w:code="9"/>
      <w:pgMar w:top="1701" w:right="1418" w:bottom="1418" w:left="1418" w:header="709" w:footer="5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71CB" w:rsidRDefault="009871CB">
      <w:r>
        <w:separator/>
      </w:r>
    </w:p>
  </w:endnote>
  <w:endnote w:type="continuationSeparator" w:id="0">
    <w:p w:rsidR="009871CB" w:rsidRDefault="00987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181A" w:rsidRDefault="00AE181A">
    <w:pPr>
      <w:pStyle w:val="Fuzeile"/>
      <w:jc w:val="right"/>
    </w:pPr>
    <w:r>
      <w:fldChar w:fldCharType="begin"/>
    </w:r>
    <w:r>
      <w:instrText>PAGE   \* MERGEFORMAT</w:instrText>
    </w:r>
    <w:r>
      <w:fldChar w:fldCharType="separate"/>
    </w:r>
    <w:r w:rsidR="000D6D77">
      <w:rPr>
        <w:noProof/>
      </w:rPr>
      <w:t>5</w:t>
    </w:r>
    <w:r>
      <w:fldChar w:fldCharType="end"/>
    </w:r>
  </w:p>
  <w:p w:rsidR="00AE181A" w:rsidRDefault="00AE181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71CB" w:rsidRDefault="009871CB">
      <w:r>
        <w:separator/>
      </w:r>
    </w:p>
  </w:footnote>
  <w:footnote w:type="continuationSeparator" w:id="0">
    <w:p w:rsidR="009871CB" w:rsidRDefault="009871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181A" w:rsidRDefault="00AE181A" w:rsidP="003E55D5">
    <w:pPr>
      <w:pStyle w:val="Kopfzeile"/>
      <w:pBdr>
        <w:top w:val="single" w:sz="4" w:space="1" w:color="auto"/>
        <w:left w:val="single" w:sz="4" w:space="4" w:color="auto"/>
        <w:bottom w:val="single" w:sz="4" w:space="1" w:color="auto"/>
        <w:right w:val="single" w:sz="4" w:space="4" w:color="auto"/>
      </w:pBdr>
      <w:tabs>
        <w:tab w:val="clear" w:pos="4536"/>
        <w:tab w:val="left" w:pos="6240"/>
      </w:tabs>
      <w:spacing w:after="120"/>
    </w:pPr>
    <w:proofErr w:type="spellStart"/>
    <w:r>
      <w:t>P_Zoo</w:t>
    </w:r>
    <w:proofErr w:type="spellEnd"/>
    <w:r>
      <w:t xml:space="preserve"> WS 2017/18</w:t>
    </w:r>
  </w:p>
  <w:p w:rsidR="00AE181A" w:rsidRDefault="00AE181A" w:rsidP="003E55D5">
    <w:pPr>
      <w:pStyle w:val="Kopfzeile"/>
      <w:pBdr>
        <w:top w:val="single" w:sz="4" w:space="1" w:color="auto"/>
        <w:left w:val="single" w:sz="4" w:space="4" w:color="auto"/>
        <w:bottom w:val="single" w:sz="4" w:space="1" w:color="auto"/>
        <w:right w:val="single" w:sz="4" w:space="4" w:color="auto"/>
      </w:pBdr>
      <w:tabs>
        <w:tab w:val="clear" w:pos="4536"/>
        <w:tab w:val="left" w:pos="6240"/>
      </w:tabs>
      <w:spacing w:after="120"/>
    </w:pPr>
    <w:r>
      <w:t>BTA 1   Gruppe A   AG 2</w:t>
    </w:r>
  </w:p>
  <w:p w:rsidR="00AE181A" w:rsidRDefault="00AE181A" w:rsidP="003E55D5">
    <w:pPr>
      <w:pStyle w:val="Kopfzeile"/>
      <w:pBdr>
        <w:top w:val="single" w:sz="4" w:space="1" w:color="auto"/>
        <w:left w:val="single" w:sz="4" w:space="4" w:color="auto"/>
        <w:bottom w:val="single" w:sz="4" w:space="1" w:color="auto"/>
        <w:right w:val="single" w:sz="4" w:space="4" w:color="auto"/>
      </w:pBdr>
      <w:tabs>
        <w:tab w:val="clear" w:pos="4536"/>
        <w:tab w:val="left" w:pos="6240"/>
      </w:tabs>
      <w:spacing w:after="120"/>
    </w:pPr>
    <w:r>
      <w:t>Namen: Phillip Berger, Yannik Seubert</w:t>
    </w:r>
    <w:r>
      <w:tab/>
      <w:t>Datum: 11.01.2018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586C9E2E"/>
    <w:lvl w:ilvl="0">
      <w:start w:val="1"/>
      <w:numFmt w:val="decimal"/>
      <w:pStyle w:val="Listennummer3"/>
      <w:lvlText w:val="%1."/>
      <w:lvlJc w:val="left"/>
      <w:pPr>
        <w:tabs>
          <w:tab w:val="num" w:pos="926"/>
        </w:tabs>
        <w:ind w:left="926" w:hanging="360"/>
      </w:pPr>
    </w:lvl>
  </w:abstractNum>
  <w:abstractNum w:abstractNumId="1" w15:restartNumberingAfterBreak="0">
    <w:nsid w:val="0CA00FFC"/>
    <w:multiLevelType w:val="multilevel"/>
    <w:tmpl w:val="982EB336"/>
    <w:lvl w:ilvl="0">
      <w:start w:val="1"/>
      <w:numFmt w:val="decimal"/>
      <w:pStyle w:val="berschrift1"/>
      <w:lvlText w:val="%1"/>
      <w:lvlJc w:val="left"/>
      <w:pPr>
        <w:tabs>
          <w:tab w:val="num" w:pos="432"/>
        </w:tabs>
        <w:ind w:left="432" w:hanging="432"/>
      </w:pPr>
      <w:rPr>
        <w:rFonts w:hint="default"/>
        <w:b/>
        <w:i w:val="0"/>
        <w:sz w:val="28"/>
        <w:szCs w:val="32"/>
      </w:rPr>
    </w:lvl>
    <w:lvl w:ilvl="1">
      <w:start w:val="1"/>
      <w:numFmt w:val="decimal"/>
      <w:pStyle w:val="berschrift2"/>
      <w:lvlText w:val="%1.%2"/>
      <w:lvlJc w:val="left"/>
      <w:pPr>
        <w:tabs>
          <w:tab w:val="num" w:pos="851"/>
        </w:tabs>
        <w:ind w:left="851" w:hanging="851"/>
      </w:pPr>
      <w:rPr>
        <w:rFonts w:ascii="Arial" w:hAnsi="Arial" w:cs="Arial" w:hint="default"/>
        <w:b/>
        <w:i w:val="0"/>
        <w:sz w:val="24"/>
        <w:szCs w:val="28"/>
      </w:rPr>
    </w:lvl>
    <w:lvl w:ilvl="2">
      <w:start w:val="1"/>
      <w:numFmt w:val="decimal"/>
      <w:lvlRestart w:val="0"/>
      <w:pStyle w:val="berschrift3"/>
      <w:lvlText w:val="%1.%2.%3"/>
      <w:lvlJc w:val="left"/>
      <w:pPr>
        <w:tabs>
          <w:tab w:val="num" w:pos="1080"/>
        </w:tabs>
        <w:ind w:left="720" w:hanging="720"/>
      </w:pPr>
      <w:rPr>
        <w:rFonts w:ascii="Verdana" w:hAnsi="Verdana" w:hint="default"/>
        <w:b/>
        <w:i w:val="0"/>
        <w:sz w:val="26"/>
        <w:szCs w:val="26"/>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 w15:restartNumberingAfterBreak="0">
    <w:nsid w:val="121565E8"/>
    <w:multiLevelType w:val="multilevel"/>
    <w:tmpl w:val="5AA27BCE"/>
    <w:lvl w:ilvl="0">
      <w:start w:val="1"/>
      <w:numFmt w:val="decimal"/>
      <w:lvlText w:val="%1."/>
      <w:lvlJc w:val="left"/>
      <w:pPr>
        <w:tabs>
          <w:tab w:val="num" w:pos="432"/>
        </w:tabs>
        <w:ind w:left="432" w:hanging="432"/>
      </w:pPr>
      <w:rPr>
        <w:rFonts w:ascii="Verdana" w:hAnsi="Verdana" w:hint="default"/>
        <w:b/>
        <w:i w:val="0"/>
        <w:sz w:val="32"/>
        <w:szCs w:val="32"/>
      </w:rPr>
    </w:lvl>
    <w:lvl w:ilvl="1">
      <w:start w:val="1"/>
      <w:numFmt w:val="decimal"/>
      <w:lvlText w:val="%1.%2"/>
      <w:lvlJc w:val="left"/>
      <w:pPr>
        <w:tabs>
          <w:tab w:val="num" w:pos="851"/>
        </w:tabs>
        <w:ind w:left="851" w:hanging="851"/>
      </w:pPr>
      <w:rPr>
        <w:rFonts w:ascii="Verdana" w:hAnsi="Verdana" w:hint="default"/>
        <w:b/>
        <w:i/>
        <w:sz w:val="28"/>
        <w:szCs w:val="28"/>
      </w:rPr>
    </w:lvl>
    <w:lvl w:ilvl="2">
      <w:start w:val="1"/>
      <w:numFmt w:val="decimal"/>
      <w:lvlRestart w:val="0"/>
      <w:lvlText w:val="%1.%2.%3"/>
      <w:lvlJc w:val="left"/>
      <w:pPr>
        <w:tabs>
          <w:tab w:val="num" w:pos="1080"/>
        </w:tabs>
        <w:ind w:left="720" w:hanging="720"/>
      </w:pPr>
      <w:rPr>
        <w:rFonts w:ascii="Verdana" w:hAnsi="Verdana" w:hint="default"/>
        <w:b/>
        <w:i w:val="0"/>
        <w:sz w:val="26"/>
        <w:szCs w:val="26"/>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6DA53A3"/>
    <w:multiLevelType w:val="hybridMultilevel"/>
    <w:tmpl w:val="C2B63E26"/>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15:restartNumberingAfterBreak="0">
    <w:nsid w:val="27680837"/>
    <w:multiLevelType w:val="multilevel"/>
    <w:tmpl w:val="E9E6B354"/>
    <w:lvl w:ilvl="0">
      <w:start w:val="1"/>
      <w:numFmt w:val="decimal"/>
      <w:lvlText w:val="%1."/>
      <w:lvlJc w:val="left"/>
      <w:pPr>
        <w:tabs>
          <w:tab w:val="num" w:pos="432"/>
        </w:tabs>
        <w:ind w:left="432" w:hanging="432"/>
      </w:pPr>
      <w:rPr>
        <w:rFonts w:ascii="Verdana" w:hAnsi="Verdana" w:hint="default"/>
        <w:b/>
        <w:i w:val="0"/>
        <w:sz w:val="28"/>
        <w:szCs w:val="32"/>
      </w:rPr>
    </w:lvl>
    <w:lvl w:ilvl="1">
      <w:start w:val="1"/>
      <w:numFmt w:val="decimal"/>
      <w:lvlText w:val="%1.%2"/>
      <w:lvlJc w:val="left"/>
      <w:pPr>
        <w:tabs>
          <w:tab w:val="num" w:pos="851"/>
        </w:tabs>
        <w:ind w:left="851" w:hanging="851"/>
      </w:pPr>
      <w:rPr>
        <w:rFonts w:ascii="Verdana" w:hAnsi="Verdana" w:hint="default"/>
        <w:b/>
        <w:i/>
        <w:sz w:val="28"/>
        <w:szCs w:val="28"/>
      </w:rPr>
    </w:lvl>
    <w:lvl w:ilvl="2">
      <w:start w:val="1"/>
      <w:numFmt w:val="decimal"/>
      <w:lvlRestart w:val="0"/>
      <w:lvlText w:val="%1.%2.%3"/>
      <w:lvlJc w:val="left"/>
      <w:pPr>
        <w:tabs>
          <w:tab w:val="num" w:pos="1080"/>
        </w:tabs>
        <w:ind w:left="720" w:hanging="720"/>
      </w:pPr>
      <w:rPr>
        <w:rFonts w:ascii="Verdana" w:hAnsi="Verdana" w:hint="default"/>
        <w:b/>
        <w:i w:val="0"/>
        <w:sz w:val="26"/>
        <w:szCs w:val="26"/>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58BB4EBE"/>
    <w:multiLevelType w:val="hybridMultilevel"/>
    <w:tmpl w:val="D3AA9F16"/>
    <w:lvl w:ilvl="0" w:tplc="0407000B">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6603A66"/>
    <w:multiLevelType w:val="hybridMultilevel"/>
    <w:tmpl w:val="1E2E4472"/>
    <w:lvl w:ilvl="0" w:tplc="9822DDF8">
      <w:numFmt w:val="bullet"/>
      <w:lvlText w:val=""/>
      <w:lvlJc w:val="left"/>
      <w:pPr>
        <w:ind w:left="1080" w:hanging="360"/>
      </w:pPr>
      <w:rPr>
        <w:rFonts w:ascii="Wingdings" w:eastAsia="Times New Roman" w:hAnsi="Wingdings"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0"/>
  </w:num>
  <w:num w:numId="2">
    <w:abstractNumId w:val="0"/>
  </w:num>
  <w:num w:numId="3">
    <w:abstractNumId w:val="0"/>
  </w:num>
  <w:num w:numId="4">
    <w:abstractNumId w:val="3"/>
  </w:num>
  <w:num w:numId="5">
    <w:abstractNumId w:val="1"/>
  </w:num>
  <w:num w:numId="6">
    <w:abstractNumId w:val="2"/>
  </w:num>
  <w:num w:numId="7">
    <w:abstractNumId w:val="4"/>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55D5"/>
    <w:rsid w:val="00000623"/>
    <w:rsid w:val="000129F3"/>
    <w:rsid w:val="00045244"/>
    <w:rsid w:val="00054F01"/>
    <w:rsid w:val="00060041"/>
    <w:rsid w:val="000629ED"/>
    <w:rsid w:val="000A674D"/>
    <w:rsid w:val="000B30C7"/>
    <w:rsid w:val="000D6D77"/>
    <w:rsid w:val="00110819"/>
    <w:rsid w:val="001239A7"/>
    <w:rsid w:val="001320BD"/>
    <w:rsid w:val="0018584B"/>
    <w:rsid w:val="001929B1"/>
    <w:rsid w:val="001D781B"/>
    <w:rsid w:val="001F12CE"/>
    <w:rsid w:val="002516A3"/>
    <w:rsid w:val="002C2026"/>
    <w:rsid w:val="00326894"/>
    <w:rsid w:val="00346503"/>
    <w:rsid w:val="00354218"/>
    <w:rsid w:val="00363038"/>
    <w:rsid w:val="00383102"/>
    <w:rsid w:val="0038513D"/>
    <w:rsid w:val="003A2F91"/>
    <w:rsid w:val="003D781B"/>
    <w:rsid w:val="003E55D5"/>
    <w:rsid w:val="00416990"/>
    <w:rsid w:val="004267D0"/>
    <w:rsid w:val="00532819"/>
    <w:rsid w:val="00533A37"/>
    <w:rsid w:val="00541C4C"/>
    <w:rsid w:val="00544CE3"/>
    <w:rsid w:val="0055372C"/>
    <w:rsid w:val="005821B4"/>
    <w:rsid w:val="005A08A4"/>
    <w:rsid w:val="005A532C"/>
    <w:rsid w:val="005D6ABB"/>
    <w:rsid w:val="005F74B5"/>
    <w:rsid w:val="0064566B"/>
    <w:rsid w:val="006B4881"/>
    <w:rsid w:val="007141DC"/>
    <w:rsid w:val="00741129"/>
    <w:rsid w:val="00745E75"/>
    <w:rsid w:val="00760ED9"/>
    <w:rsid w:val="007A3F1B"/>
    <w:rsid w:val="007D7A54"/>
    <w:rsid w:val="00846203"/>
    <w:rsid w:val="008734D8"/>
    <w:rsid w:val="0089172B"/>
    <w:rsid w:val="00910FE1"/>
    <w:rsid w:val="009871CB"/>
    <w:rsid w:val="009905DF"/>
    <w:rsid w:val="009A3440"/>
    <w:rsid w:val="009E0FDB"/>
    <w:rsid w:val="009E4C9A"/>
    <w:rsid w:val="00A70D96"/>
    <w:rsid w:val="00A74DCD"/>
    <w:rsid w:val="00A80955"/>
    <w:rsid w:val="00AA4D93"/>
    <w:rsid w:val="00AE181A"/>
    <w:rsid w:val="00AE4D2F"/>
    <w:rsid w:val="00B10DCB"/>
    <w:rsid w:val="00B41F50"/>
    <w:rsid w:val="00C20259"/>
    <w:rsid w:val="00C3241F"/>
    <w:rsid w:val="00C75F69"/>
    <w:rsid w:val="00CC7ACF"/>
    <w:rsid w:val="00CF00B3"/>
    <w:rsid w:val="00D27CB7"/>
    <w:rsid w:val="00D565CB"/>
    <w:rsid w:val="00DD5023"/>
    <w:rsid w:val="00DD6BA0"/>
    <w:rsid w:val="00E14FD4"/>
    <w:rsid w:val="00E44141"/>
    <w:rsid w:val="00F41A4D"/>
    <w:rsid w:val="00FA5A34"/>
    <w:rsid w:val="00FE304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E94320"/>
  <w15:docId w15:val="{CD51256F-DA9C-48EA-9F39-DE3672033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Pr>
      <w:rFonts w:ascii="Arial" w:hAnsi="Arial"/>
      <w:sz w:val="24"/>
      <w:szCs w:val="24"/>
    </w:rPr>
  </w:style>
  <w:style w:type="paragraph" w:styleId="berschrift1">
    <w:name w:val="heading 1"/>
    <w:basedOn w:val="Standard"/>
    <w:next w:val="Textkrper"/>
    <w:qFormat/>
    <w:rsid w:val="009E0FDB"/>
    <w:pPr>
      <w:keepNext/>
      <w:numPr>
        <w:numId w:val="5"/>
      </w:numPr>
      <w:tabs>
        <w:tab w:val="clear" w:pos="432"/>
      </w:tabs>
      <w:spacing w:before="240" w:after="120" w:line="360" w:lineRule="auto"/>
      <w:ind w:left="567" w:hanging="567"/>
      <w:outlineLvl w:val="0"/>
    </w:pPr>
    <w:rPr>
      <w:rFonts w:cs="Arial"/>
      <w:b/>
      <w:bCs/>
      <w:kern w:val="32"/>
      <w:sz w:val="32"/>
      <w:szCs w:val="32"/>
    </w:rPr>
  </w:style>
  <w:style w:type="paragraph" w:styleId="berschrift2">
    <w:name w:val="heading 2"/>
    <w:basedOn w:val="Standard"/>
    <w:next w:val="Standard"/>
    <w:qFormat/>
    <w:rsid w:val="009E0FDB"/>
    <w:pPr>
      <w:keepNext/>
      <w:numPr>
        <w:ilvl w:val="1"/>
        <w:numId w:val="5"/>
      </w:numPr>
      <w:spacing w:before="240" w:after="120" w:line="360" w:lineRule="auto"/>
      <w:ind w:left="567" w:hanging="567"/>
      <w:outlineLvl w:val="1"/>
    </w:pPr>
    <w:rPr>
      <w:rFonts w:cs="Arial"/>
      <w:b/>
      <w:bCs/>
      <w:iCs/>
      <w:sz w:val="28"/>
      <w:szCs w:val="28"/>
    </w:rPr>
  </w:style>
  <w:style w:type="paragraph" w:styleId="berschrift3">
    <w:name w:val="heading 3"/>
    <w:basedOn w:val="Standard"/>
    <w:next w:val="Standard"/>
    <w:qFormat/>
    <w:rsid w:val="00354218"/>
    <w:pPr>
      <w:keepNext/>
      <w:numPr>
        <w:ilvl w:val="2"/>
        <w:numId w:val="5"/>
      </w:numPr>
      <w:spacing w:before="240" w:after="60"/>
      <w:outlineLvl w:val="2"/>
    </w:pPr>
    <w:rPr>
      <w:rFonts w:ascii="Verdana" w:hAnsi="Verdana" w:cs="Arial"/>
      <w:b/>
      <w:bCs/>
      <w:sz w:val="26"/>
      <w:szCs w:val="26"/>
    </w:rPr>
  </w:style>
  <w:style w:type="paragraph" w:styleId="berschrift4">
    <w:name w:val="heading 4"/>
    <w:basedOn w:val="Standard"/>
    <w:next w:val="Standard"/>
    <w:qFormat/>
    <w:rsid w:val="00354218"/>
    <w:pPr>
      <w:keepNext/>
      <w:numPr>
        <w:ilvl w:val="3"/>
        <w:numId w:val="5"/>
      </w:numPr>
      <w:spacing w:before="240" w:after="60"/>
      <w:outlineLvl w:val="3"/>
    </w:pPr>
    <w:rPr>
      <w:rFonts w:ascii="Times New Roman" w:hAnsi="Times New Roman"/>
      <w:b/>
      <w:bCs/>
      <w:sz w:val="28"/>
      <w:szCs w:val="28"/>
    </w:rPr>
  </w:style>
  <w:style w:type="paragraph" w:styleId="berschrift5">
    <w:name w:val="heading 5"/>
    <w:basedOn w:val="Standard"/>
    <w:next w:val="Standard"/>
    <w:qFormat/>
    <w:rsid w:val="00354218"/>
    <w:pPr>
      <w:numPr>
        <w:ilvl w:val="4"/>
        <w:numId w:val="5"/>
      </w:numPr>
      <w:spacing w:before="240" w:after="60"/>
      <w:outlineLvl w:val="4"/>
    </w:pPr>
    <w:rPr>
      <w:b/>
      <w:bCs/>
      <w:i/>
      <w:iCs/>
      <w:sz w:val="26"/>
      <w:szCs w:val="26"/>
    </w:rPr>
  </w:style>
  <w:style w:type="paragraph" w:styleId="berschrift6">
    <w:name w:val="heading 6"/>
    <w:basedOn w:val="Standard"/>
    <w:next w:val="Standard"/>
    <w:qFormat/>
    <w:rsid w:val="00354218"/>
    <w:pPr>
      <w:numPr>
        <w:ilvl w:val="5"/>
        <w:numId w:val="5"/>
      </w:numPr>
      <w:spacing w:before="240" w:after="60"/>
      <w:outlineLvl w:val="5"/>
    </w:pPr>
    <w:rPr>
      <w:rFonts w:ascii="Times New Roman" w:hAnsi="Times New Roman"/>
      <w:b/>
      <w:bCs/>
      <w:sz w:val="22"/>
      <w:szCs w:val="22"/>
    </w:rPr>
  </w:style>
  <w:style w:type="paragraph" w:styleId="berschrift7">
    <w:name w:val="heading 7"/>
    <w:basedOn w:val="Standard"/>
    <w:next w:val="Standard"/>
    <w:qFormat/>
    <w:rsid w:val="00354218"/>
    <w:pPr>
      <w:numPr>
        <w:ilvl w:val="6"/>
        <w:numId w:val="5"/>
      </w:numPr>
      <w:spacing w:before="240" w:after="60"/>
      <w:outlineLvl w:val="6"/>
    </w:pPr>
    <w:rPr>
      <w:rFonts w:ascii="Times New Roman" w:hAnsi="Times New Roman"/>
    </w:rPr>
  </w:style>
  <w:style w:type="paragraph" w:styleId="berschrift8">
    <w:name w:val="heading 8"/>
    <w:basedOn w:val="Standard"/>
    <w:next w:val="Standard"/>
    <w:qFormat/>
    <w:rsid w:val="00354218"/>
    <w:pPr>
      <w:numPr>
        <w:ilvl w:val="7"/>
        <w:numId w:val="5"/>
      </w:numPr>
      <w:spacing w:before="240" w:after="60"/>
      <w:outlineLvl w:val="7"/>
    </w:pPr>
    <w:rPr>
      <w:rFonts w:ascii="Times New Roman" w:hAnsi="Times New Roman"/>
      <w:i/>
      <w:iCs/>
    </w:rPr>
  </w:style>
  <w:style w:type="paragraph" w:styleId="berschrift9">
    <w:name w:val="heading 9"/>
    <w:basedOn w:val="Standard"/>
    <w:next w:val="Standard"/>
    <w:qFormat/>
    <w:rsid w:val="00354218"/>
    <w:pPr>
      <w:numPr>
        <w:ilvl w:val="8"/>
        <w:numId w:val="5"/>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nummer3">
    <w:name w:val="List Number 3"/>
    <w:basedOn w:val="Standard"/>
    <w:next w:val="Textkrper"/>
    <w:autoRedefine/>
    <w:rsid w:val="005F74B5"/>
    <w:pPr>
      <w:numPr>
        <w:numId w:val="3"/>
      </w:numPr>
      <w:tabs>
        <w:tab w:val="left" w:pos="680"/>
      </w:tabs>
      <w:spacing w:after="120"/>
    </w:pPr>
    <w:rPr>
      <w:rFonts w:ascii="Verdana" w:hAnsi="Verdana"/>
      <w:sz w:val="22"/>
      <w:szCs w:val="22"/>
    </w:rPr>
  </w:style>
  <w:style w:type="paragraph" w:styleId="Textkrper">
    <w:name w:val="Body Text"/>
    <w:basedOn w:val="Standard"/>
    <w:rsid w:val="007D7A54"/>
    <w:pPr>
      <w:spacing w:after="120" w:line="360" w:lineRule="auto"/>
      <w:jc w:val="both"/>
    </w:pPr>
    <w:rPr>
      <w:sz w:val="22"/>
    </w:rPr>
  </w:style>
  <w:style w:type="paragraph" w:styleId="Kopfzeile">
    <w:name w:val="header"/>
    <w:basedOn w:val="Standard"/>
    <w:rsid w:val="003E55D5"/>
    <w:pPr>
      <w:tabs>
        <w:tab w:val="center" w:pos="4536"/>
        <w:tab w:val="right" w:pos="9072"/>
      </w:tabs>
    </w:pPr>
  </w:style>
  <w:style w:type="paragraph" w:styleId="Fuzeile">
    <w:name w:val="footer"/>
    <w:basedOn w:val="Standard"/>
    <w:link w:val="FuzeileZchn"/>
    <w:uiPriority w:val="99"/>
    <w:rsid w:val="003E55D5"/>
    <w:pPr>
      <w:tabs>
        <w:tab w:val="center" w:pos="4536"/>
        <w:tab w:val="right" w:pos="9072"/>
      </w:tabs>
    </w:pPr>
  </w:style>
  <w:style w:type="character" w:customStyle="1" w:styleId="FuzeileZchn">
    <w:name w:val="Fußzeile Zchn"/>
    <w:link w:val="Fuzeile"/>
    <w:uiPriority w:val="99"/>
    <w:rsid w:val="00CF00B3"/>
    <w:rPr>
      <w:rFonts w:ascii="Arial" w:hAnsi="Arial"/>
      <w:sz w:val="24"/>
      <w:szCs w:val="24"/>
    </w:rPr>
  </w:style>
  <w:style w:type="paragraph" w:styleId="Sprechblasentext">
    <w:name w:val="Balloon Text"/>
    <w:basedOn w:val="Standard"/>
    <w:link w:val="SprechblasentextZchn"/>
    <w:rsid w:val="0064566B"/>
    <w:rPr>
      <w:rFonts w:ascii="Tahoma" w:hAnsi="Tahoma" w:cs="Tahoma"/>
      <w:sz w:val="16"/>
      <w:szCs w:val="16"/>
    </w:rPr>
  </w:style>
  <w:style w:type="character" w:customStyle="1" w:styleId="SprechblasentextZchn">
    <w:name w:val="Sprechblasentext Zchn"/>
    <w:basedOn w:val="Absatz-Standardschriftart"/>
    <w:link w:val="Sprechblasentext"/>
    <w:rsid w:val="0064566B"/>
    <w:rPr>
      <w:rFonts w:ascii="Tahoma" w:hAnsi="Tahoma" w:cs="Tahoma"/>
      <w:sz w:val="16"/>
      <w:szCs w:val="16"/>
    </w:rPr>
  </w:style>
  <w:style w:type="paragraph" w:styleId="Titel">
    <w:name w:val="Title"/>
    <w:basedOn w:val="Standard"/>
    <w:next w:val="Standard"/>
    <w:link w:val="TitelZchn"/>
    <w:qFormat/>
    <w:rsid w:val="002C2026"/>
    <w:pPr>
      <w:spacing w:before="120" w:after="120" w:line="360" w:lineRule="auto"/>
      <w:contextualSpacing/>
      <w:jc w:val="center"/>
    </w:pPr>
    <w:rPr>
      <w:rFonts w:eastAsiaTheme="majorEastAsia" w:cstheme="majorBidi"/>
      <w:b/>
      <w:spacing w:val="5"/>
      <w:kern w:val="28"/>
      <w:sz w:val="32"/>
      <w:szCs w:val="52"/>
    </w:rPr>
  </w:style>
  <w:style w:type="character" w:customStyle="1" w:styleId="TitelZchn">
    <w:name w:val="Titel Zchn"/>
    <w:basedOn w:val="Absatz-Standardschriftart"/>
    <w:link w:val="Titel"/>
    <w:rsid w:val="002C2026"/>
    <w:rPr>
      <w:rFonts w:ascii="Arial" w:eastAsiaTheme="majorEastAsia" w:hAnsi="Arial" w:cstheme="majorBidi"/>
      <w:b/>
      <w:spacing w:val="5"/>
      <w:kern w:val="28"/>
      <w:sz w:val="32"/>
      <w:szCs w:val="52"/>
    </w:rPr>
  </w:style>
  <w:style w:type="table" w:styleId="Tabellenraster">
    <w:name w:val="Table Grid"/>
    <w:basedOn w:val="NormaleTabelle"/>
    <w:rsid w:val="001929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AA4D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719</Words>
  <Characters>4531</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Hochschule Fresenius</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Koch</dc:creator>
  <cp:lastModifiedBy>Phillip Berger</cp:lastModifiedBy>
  <cp:revision>19</cp:revision>
  <cp:lastPrinted>2016-09-08T07:58:00Z</cp:lastPrinted>
  <dcterms:created xsi:type="dcterms:W3CDTF">2018-01-17T08:44:00Z</dcterms:created>
  <dcterms:modified xsi:type="dcterms:W3CDTF">2018-01-17T20:42:00Z</dcterms:modified>
</cp:coreProperties>
</file>