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07F8" w14:textId="057A419E" w:rsidR="00873BEB" w:rsidRPr="00873BEB" w:rsidRDefault="00873BEB" w:rsidP="00873BEB">
      <w:pPr>
        <w:ind w:right="1416"/>
        <w:jc w:val="both"/>
        <w:rPr>
          <w:rFonts w:ascii="Arial" w:hAnsi="Arial" w:cs="Arial"/>
          <w:b/>
          <w:bCs/>
        </w:rPr>
      </w:pPr>
      <w:r w:rsidRPr="00873BEB">
        <w:rPr>
          <w:rStyle w:val="Strong"/>
          <w:rFonts w:ascii="Arial" w:hAnsi="Arial" w:cs="Arial"/>
        </w:rPr>
        <w:t>Response to Reviewer Comments</w:t>
      </w:r>
      <w:r w:rsidRPr="00873BEB">
        <w:rPr>
          <w:rFonts w:ascii="Arial" w:hAnsi="Arial" w:cs="Arial"/>
        </w:rPr>
        <w:br/>
        <w:t xml:space="preserve">Title: Reservoir Capacity Analysis for Flood Mitigation in the Upper </w:t>
      </w:r>
      <w:proofErr w:type="spellStart"/>
      <w:r w:rsidRPr="00873BEB">
        <w:rPr>
          <w:rFonts w:ascii="Arial" w:hAnsi="Arial" w:cs="Arial"/>
        </w:rPr>
        <w:t>Kuranji</w:t>
      </w:r>
      <w:proofErr w:type="spellEnd"/>
      <w:r w:rsidRPr="00873BEB">
        <w:rPr>
          <w:rFonts w:ascii="Arial" w:hAnsi="Arial" w:cs="Arial"/>
        </w:rPr>
        <w:t xml:space="preserve"> Watershed</w:t>
      </w:r>
      <w:r w:rsidRPr="00873BEB">
        <w:rPr>
          <w:rFonts w:ascii="Arial" w:hAnsi="Arial" w:cs="Arial"/>
        </w:rPr>
        <w:br/>
        <w:t xml:space="preserve">Corresponding Author: </w:t>
      </w:r>
      <w:proofErr w:type="spellStart"/>
      <w:r>
        <w:rPr>
          <w:rFonts w:ascii="Arial" w:hAnsi="Arial" w:cs="Arial"/>
        </w:rPr>
        <w:t>Nofra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Masdaf</w:t>
      </w:r>
      <w:proofErr w:type="spellEnd"/>
      <w:r w:rsidRPr="00873BEB">
        <w:rPr>
          <w:rFonts w:ascii="Arial" w:hAnsi="Arial" w:cs="Arial"/>
        </w:rPr>
        <w:br/>
        <w:t xml:space="preserve">Date: </w:t>
      </w:r>
      <w:r>
        <w:rPr>
          <w:rFonts w:ascii="Arial" w:hAnsi="Arial" w:cs="Arial"/>
        </w:rPr>
        <w:t>01 June 2025</w:t>
      </w:r>
    </w:p>
    <w:p w14:paraId="767D78CF" w14:textId="77777777" w:rsidR="00873BEB" w:rsidRDefault="00873BEB" w:rsidP="00873BEB">
      <w:pPr>
        <w:ind w:right="1416"/>
        <w:jc w:val="both"/>
        <w:rPr>
          <w:rFonts w:ascii="Arial" w:hAnsi="Arial" w:cs="Arial"/>
          <w:b/>
          <w:bCs/>
        </w:rPr>
      </w:pPr>
    </w:p>
    <w:p w14:paraId="7A3D9BC4" w14:textId="3AFD9314" w:rsidR="00AD38BC" w:rsidRPr="00ED0D12" w:rsidRDefault="00AD38BC">
      <w:pPr>
        <w:rPr>
          <w:rFonts w:ascii="Arial" w:hAnsi="Arial" w:cs="Arial"/>
          <w:b/>
          <w:bCs/>
        </w:rPr>
      </w:pPr>
      <w:r w:rsidRPr="00ED0D12">
        <w:rPr>
          <w:rFonts w:ascii="Arial" w:hAnsi="Arial" w:cs="Arial"/>
          <w:b/>
          <w:bCs/>
        </w:rPr>
        <w:t xml:space="preserve">Reviewer </w:t>
      </w:r>
      <w:proofErr w:type="gramStart"/>
      <w:r w:rsidRPr="00ED0D12">
        <w:rPr>
          <w:rFonts w:ascii="Arial" w:hAnsi="Arial" w:cs="Arial"/>
          <w:b/>
          <w:bCs/>
        </w:rPr>
        <w:t>1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2393"/>
        <w:gridCol w:w="3296"/>
        <w:gridCol w:w="1667"/>
      </w:tblGrid>
      <w:tr w:rsidR="00873BEB" w:rsidRPr="00873BEB" w14:paraId="4B096B1C" w14:textId="77777777" w:rsidTr="00873BEB">
        <w:tc>
          <w:tcPr>
            <w:tcW w:w="305" w:type="pct"/>
            <w:vAlign w:val="center"/>
          </w:tcPr>
          <w:p w14:paraId="05C46935" w14:textId="79B1A5A0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1528" w:type="pct"/>
            <w:vAlign w:val="center"/>
          </w:tcPr>
          <w:p w14:paraId="5B04C070" w14:textId="4171788A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Reviewer’s Comment</w:t>
            </w:r>
          </w:p>
        </w:tc>
        <w:tc>
          <w:tcPr>
            <w:tcW w:w="2097" w:type="pct"/>
            <w:vAlign w:val="center"/>
          </w:tcPr>
          <w:p w14:paraId="60576CA4" w14:textId="1E059D0E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Author’s Response</w:t>
            </w:r>
          </w:p>
        </w:tc>
        <w:tc>
          <w:tcPr>
            <w:tcW w:w="1069" w:type="pct"/>
            <w:vAlign w:val="center"/>
          </w:tcPr>
          <w:p w14:paraId="14EFB542" w14:textId="010F6DF5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Changes in Manuscript</w:t>
            </w:r>
          </w:p>
        </w:tc>
      </w:tr>
      <w:tr w:rsidR="00873BEB" w:rsidRPr="00873BEB" w14:paraId="30471C1A" w14:textId="77777777" w:rsidTr="00873BEB">
        <w:tc>
          <w:tcPr>
            <w:tcW w:w="305" w:type="pct"/>
            <w:vAlign w:val="center"/>
          </w:tcPr>
          <w:p w14:paraId="435EEB9C" w14:textId="5B2E10D5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1</w:t>
            </w:r>
          </w:p>
        </w:tc>
        <w:tc>
          <w:tcPr>
            <w:tcW w:w="1528" w:type="pct"/>
            <w:vAlign w:val="center"/>
          </w:tcPr>
          <w:p w14:paraId="2B81A2BB" w14:textId="2B267946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title is descriptive but could be more concise.</w:t>
            </w:r>
          </w:p>
        </w:tc>
        <w:tc>
          <w:tcPr>
            <w:tcW w:w="2097" w:type="pct"/>
            <w:vAlign w:val="center"/>
          </w:tcPr>
          <w:p w14:paraId="274C985B" w14:textId="74E3F45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The title has been revised to "Reservoir Capacity Analysis for Flood Mitigation in the Upper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Watershed" to be more concise and focused.</w:t>
            </w:r>
          </w:p>
        </w:tc>
        <w:tc>
          <w:tcPr>
            <w:tcW w:w="1069" w:type="pct"/>
            <w:vAlign w:val="center"/>
          </w:tcPr>
          <w:p w14:paraId="407DAC48" w14:textId="5B191625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Title page</w:t>
            </w:r>
          </w:p>
        </w:tc>
      </w:tr>
      <w:tr w:rsidR="00873BEB" w:rsidRPr="00873BEB" w14:paraId="144040F3" w14:textId="77777777" w:rsidTr="00873BEB">
        <w:tc>
          <w:tcPr>
            <w:tcW w:w="305" w:type="pct"/>
            <w:vAlign w:val="center"/>
          </w:tcPr>
          <w:p w14:paraId="330DD209" w14:textId="23E5199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2</w:t>
            </w:r>
          </w:p>
        </w:tc>
        <w:tc>
          <w:tcPr>
            <w:tcW w:w="1528" w:type="pct"/>
            <w:vAlign w:val="center"/>
          </w:tcPr>
          <w:p w14:paraId="343F6CC6" w14:textId="517A636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 to figures (e.g., Fig. 1, Fig. 2) lack accompanying descriptions or captions.</w:t>
            </w:r>
          </w:p>
        </w:tc>
        <w:tc>
          <w:tcPr>
            <w:tcW w:w="2097" w:type="pct"/>
            <w:vAlign w:val="center"/>
          </w:tcPr>
          <w:p w14:paraId="003CC90A" w14:textId="6D39059E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figures have been supplemented with informative captions and descriptions according to journal standards.</w:t>
            </w:r>
          </w:p>
        </w:tc>
        <w:tc>
          <w:tcPr>
            <w:tcW w:w="1069" w:type="pct"/>
            <w:vAlign w:val="center"/>
          </w:tcPr>
          <w:p w14:paraId="36F947B2" w14:textId="7C61854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figures in the manuscript</w:t>
            </w:r>
          </w:p>
        </w:tc>
      </w:tr>
      <w:tr w:rsidR="00873BEB" w:rsidRPr="00873BEB" w14:paraId="79D5126A" w14:textId="77777777" w:rsidTr="00873BEB">
        <w:tc>
          <w:tcPr>
            <w:tcW w:w="305" w:type="pct"/>
            <w:vAlign w:val="center"/>
          </w:tcPr>
          <w:p w14:paraId="00085E82" w14:textId="71436659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3</w:t>
            </w:r>
          </w:p>
        </w:tc>
        <w:tc>
          <w:tcPr>
            <w:tcW w:w="1528" w:type="pct"/>
            <w:vAlign w:val="center"/>
          </w:tcPr>
          <w:p w14:paraId="5C1E457E" w14:textId="25A4599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source for Fig. 2 is mentioned as "Source: " without details.</w:t>
            </w:r>
          </w:p>
        </w:tc>
        <w:tc>
          <w:tcPr>
            <w:tcW w:w="2097" w:type="pct"/>
            <w:vAlign w:val="center"/>
          </w:tcPr>
          <w:p w14:paraId="105CC952" w14:textId="301AEB3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source for Fig. 2 has been clarified and completed following the journal’s referencing format.</w:t>
            </w:r>
          </w:p>
        </w:tc>
        <w:tc>
          <w:tcPr>
            <w:tcW w:w="1069" w:type="pct"/>
            <w:vAlign w:val="center"/>
          </w:tcPr>
          <w:p w14:paraId="52A40809" w14:textId="76F90446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Caption of Fig. 2</w:t>
            </w:r>
          </w:p>
        </w:tc>
      </w:tr>
      <w:tr w:rsidR="00873BEB" w:rsidRPr="00873BEB" w14:paraId="571F5713" w14:textId="77777777" w:rsidTr="00873BEB">
        <w:tc>
          <w:tcPr>
            <w:tcW w:w="305" w:type="pct"/>
            <w:vAlign w:val="center"/>
          </w:tcPr>
          <w:p w14:paraId="7E3061D8" w14:textId="2A38624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4</w:t>
            </w:r>
          </w:p>
        </w:tc>
        <w:tc>
          <w:tcPr>
            <w:tcW w:w="1528" w:type="pct"/>
            <w:vAlign w:val="center"/>
          </w:tcPr>
          <w:p w14:paraId="212686B1" w14:textId="31E31AB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Methodology section needs clearer transitions between subsections.</w:t>
            </w:r>
          </w:p>
        </w:tc>
        <w:tc>
          <w:tcPr>
            <w:tcW w:w="2097" w:type="pct"/>
            <w:vAlign w:val="center"/>
          </w:tcPr>
          <w:p w14:paraId="5E0A0B71" w14:textId="4B058C65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Transitions between methodology subsections have been improved to enhance the flow of discussion.</w:t>
            </w:r>
          </w:p>
        </w:tc>
        <w:tc>
          <w:tcPr>
            <w:tcW w:w="1069" w:type="pct"/>
            <w:vAlign w:val="center"/>
          </w:tcPr>
          <w:p w14:paraId="4265D168" w14:textId="114215D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Chapter 2, entire methodology section</w:t>
            </w:r>
          </w:p>
        </w:tc>
      </w:tr>
      <w:tr w:rsidR="00873BEB" w:rsidRPr="00873BEB" w14:paraId="72EC2120" w14:textId="77777777" w:rsidTr="00873BEB">
        <w:tc>
          <w:tcPr>
            <w:tcW w:w="305" w:type="pct"/>
            <w:vAlign w:val="center"/>
          </w:tcPr>
          <w:p w14:paraId="685C5B00" w14:textId="56DA178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5</w:t>
            </w:r>
          </w:p>
        </w:tc>
        <w:tc>
          <w:tcPr>
            <w:tcW w:w="1528" w:type="pct"/>
            <w:vAlign w:val="center"/>
          </w:tcPr>
          <w:p w14:paraId="3A1C0CCE" w14:textId="22F6279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Equations are referenced (e.g., (1), (2)) but not explicitly shown.</w:t>
            </w:r>
          </w:p>
        </w:tc>
        <w:tc>
          <w:tcPr>
            <w:tcW w:w="2097" w:type="pct"/>
            <w:vAlign w:val="center"/>
          </w:tcPr>
          <w:p w14:paraId="612413B3" w14:textId="60D1AFF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equations are now explicitly displayed with consistent numbering.</w:t>
            </w:r>
          </w:p>
        </w:tc>
        <w:tc>
          <w:tcPr>
            <w:tcW w:w="1069" w:type="pct"/>
            <w:vAlign w:val="center"/>
          </w:tcPr>
          <w:p w14:paraId="4014A433" w14:textId="328ACD0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Chapter 2, methodology section</w:t>
            </w:r>
          </w:p>
        </w:tc>
      </w:tr>
      <w:tr w:rsidR="00873BEB" w:rsidRPr="00873BEB" w14:paraId="3347CACD" w14:textId="77777777" w:rsidTr="00873BEB">
        <w:tc>
          <w:tcPr>
            <w:tcW w:w="305" w:type="pct"/>
            <w:vAlign w:val="center"/>
          </w:tcPr>
          <w:p w14:paraId="67BFB857" w14:textId="3B07CF0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6</w:t>
            </w:r>
          </w:p>
        </w:tc>
        <w:tc>
          <w:tcPr>
            <w:tcW w:w="1528" w:type="pct"/>
            <w:vAlign w:val="center"/>
          </w:tcPr>
          <w:p w14:paraId="410FDB37" w14:textId="1E51D1B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rationale for preferring Gumbel and Log-Pearson Type III distributions is weak.</w:t>
            </w:r>
          </w:p>
        </w:tc>
        <w:tc>
          <w:tcPr>
            <w:tcW w:w="2097" w:type="pct"/>
            <w:vAlign w:val="center"/>
          </w:tcPr>
          <w:p w14:paraId="18599F41" w14:textId="7EFA7EB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Additional explanations about the advantages of these distributions and validation using Chi-Square and Kolmogorov-Smirnov tests have been added.</w:t>
            </w:r>
          </w:p>
        </w:tc>
        <w:tc>
          <w:tcPr>
            <w:tcW w:w="1069" w:type="pct"/>
            <w:vAlign w:val="center"/>
          </w:tcPr>
          <w:p w14:paraId="413F4506" w14:textId="1D26AE99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Chapter 2, probability distribution methods</w:t>
            </w:r>
          </w:p>
        </w:tc>
      </w:tr>
      <w:tr w:rsidR="00873BEB" w:rsidRPr="00873BEB" w14:paraId="71967165" w14:textId="77777777" w:rsidTr="00873BEB">
        <w:tc>
          <w:tcPr>
            <w:tcW w:w="305" w:type="pct"/>
            <w:vAlign w:val="center"/>
          </w:tcPr>
          <w:p w14:paraId="643BE938" w14:textId="0819855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7</w:t>
            </w:r>
          </w:p>
        </w:tc>
        <w:tc>
          <w:tcPr>
            <w:tcW w:w="1528" w:type="pct"/>
            <w:vAlign w:val="center"/>
          </w:tcPr>
          <w:p w14:paraId="696F05DF" w14:textId="2119E37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Table 1 lacks explanation of how coefficients were determined.</w:t>
            </w:r>
          </w:p>
        </w:tc>
        <w:tc>
          <w:tcPr>
            <w:tcW w:w="2097" w:type="pct"/>
            <w:vAlign w:val="center"/>
          </w:tcPr>
          <w:p w14:paraId="634137DE" w14:textId="79671A3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An explanation of the origin and basis for selecting runoff coefficients in Table 1 has been included.</w:t>
            </w:r>
          </w:p>
        </w:tc>
        <w:tc>
          <w:tcPr>
            <w:tcW w:w="1069" w:type="pct"/>
            <w:vAlign w:val="center"/>
          </w:tcPr>
          <w:p w14:paraId="58092327" w14:textId="7E5E9D7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Table 1</w:t>
            </w:r>
          </w:p>
        </w:tc>
      </w:tr>
      <w:tr w:rsidR="00873BEB" w:rsidRPr="00873BEB" w14:paraId="6FC799BE" w14:textId="77777777" w:rsidTr="00873BEB">
        <w:tc>
          <w:tcPr>
            <w:tcW w:w="305" w:type="pct"/>
            <w:vAlign w:val="center"/>
          </w:tcPr>
          <w:p w14:paraId="0F6A89C9" w14:textId="2A0AA18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8</w:t>
            </w:r>
          </w:p>
        </w:tc>
        <w:tc>
          <w:tcPr>
            <w:tcW w:w="1528" w:type="pct"/>
            <w:vAlign w:val="center"/>
          </w:tcPr>
          <w:p w14:paraId="0534A97B" w14:textId="3FACA4C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Reservoir filling time analysis lacks practical discussion.</w:t>
            </w:r>
          </w:p>
        </w:tc>
        <w:tc>
          <w:tcPr>
            <w:tcW w:w="2097" w:type="pct"/>
            <w:vAlign w:val="center"/>
          </w:tcPr>
          <w:p w14:paraId="505695C5" w14:textId="408764C1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Additional discussion on the significance of the filling time (39.31 seconds) in relation to flood control functions has been inserted.</w:t>
            </w:r>
          </w:p>
        </w:tc>
        <w:tc>
          <w:tcPr>
            <w:tcW w:w="1069" w:type="pct"/>
            <w:vAlign w:val="center"/>
          </w:tcPr>
          <w:p w14:paraId="24BC885A" w14:textId="65B80E9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Conclusion</w:t>
            </w:r>
          </w:p>
        </w:tc>
      </w:tr>
      <w:tr w:rsidR="00873BEB" w:rsidRPr="00873BEB" w14:paraId="7A7BF2F9" w14:textId="77777777" w:rsidTr="00873BEB">
        <w:tc>
          <w:tcPr>
            <w:tcW w:w="305" w:type="pct"/>
            <w:vAlign w:val="center"/>
          </w:tcPr>
          <w:p w14:paraId="5761FEF0" w14:textId="6EDCF8DE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9</w:t>
            </w:r>
          </w:p>
        </w:tc>
        <w:tc>
          <w:tcPr>
            <w:tcW w:w="1528" w:type="pct"/>
            <w:vAlign w:val="center"/>
          </w:tcPr>
          <w:p w14:paraId="657E3333" w14:textId="0AD120D0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references section is incomplete.</w:t>
            </w:r>
          </w:p>
        </w:tc>
        <w:tc>
          <w:tcPr>
            <w:tcW w:w="2097" w:type="pct"/>
            <w:vAlign w:val="center"/>
          </w:tcPr>
          <w:p w14:paraId="357F0897" w14:textId="433A6E2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reference list has been reviewed, completed, and formatted according to journal guidelines.</w:t>
            </w:r>
          </w:p>
        </w:tc>
        <w:tc>
          <w:tcPr>
            <w:tcW w:w="1069" w:type="pct"/>
            <w:vAlign w:val="center"/>
          </w:tcPr>
          <w:p w14:paraId="65795342" w14:textId="3711F29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 section</w:t>
            </w:r>
          </w:p>
        </w:tc>
      </w:tr>
      <w:tr w:rsidR="00873BEB" w:rsidRPr="00873BEB" w14:paraId="4E19E32F" w14:textId="77777777" w:rsidTr="00873BEB">
        <w:tc>
          <w:tcPr>
            <w:tcW w:w="305" w:type="pct"/>
            <w:vAlign w:val="center"/>
          </w:tcPr>
          <w:p w14:paraId="00253F29" w14:textId="65D402A9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1528" w:type="pct"/>
            <w:vAlign w:val="center"/>
          </w:tcPr>
          <w:p w14:paraId="2FF4AF62" w14:textId="1CF2F38B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Cite more relevant and recent articles.</w:t>
            </w:r>
          </w:p>
        </w:tc>
        <w:tc>
          <w:tcPr>
            <w:tcW w:w="2097" w:type="pct"/>
            <w:vAlign w:val="center"/>
          </w:tcPr>
          <w:p w14:paraId="58F911E0" w14:textId="5954ECCE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Two recent references (2023–2024) from CEE journals have been added and incorporated into the manuscript.</w:t>
            </w:r>
          </w:p>
        </w:tc>
        <w:tc>
          <w:tcPr>
            <w:tcW w:w="1069" w:type="pct"/>
            <w:vAlign w:val="center"/>
          </w:tcPr>
          <w:p w14:paraId="662FAD57" w14:textId="6144C26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 section and manuscript content</w:t>
            </w:r>
          </w:p>
        </w:tc>
      </w:tr>
      <w:tr w:rsidR="00873BEB" w:rsidRPr="00873BEB" w14:paraId="4F94412C" w14:textId="77777777" w:rsidTr="00873BEB">
        <w:tc>
          <w:tcPr>
            <w:tcW w:w="305" w:type="pct"/>
            <w:vAlign w:val="center"/>
          </w:tcPr>
          <w:p w14:paraId="522D5039" w14:textId="757AFB2E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11</w:t>
            </w:r>
          </w:p>
        </w:tc>
        <w:tc>
          <w:tcPr>
            <w:tcW w:w="1528" w:type="pct"/>
            <w:vAlign w:val="center"/>
          </w:tcPr>
          <w:p w14:paraId="2F6B85DB" w14:textId="307C481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Language needs minor grammatical editing.</w:t>
            </w:r>
          </w:p>
        </w:tc>
        <w:tc>
          <w:tcPr>
            <w:tcW w:w="2097" w:type="pct"/>
            <w:vAlign w:val="center"/>
          </w:tcPr>
          <w:p w14:paraId="4AFAF2A8" w14:textId="4A9BCF85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manuscript has been edited for clarity and grammar using Grammarly and manual proofreading.</w:t>
            </w:r>
          </w:p>
        </w:tc>
        <w:tc>
          <w:tcPr>
            <w:tcW w:w="1069" w:type="pct"/>
            <w:vAlign w:val="center"/>
          </w:tcPr>
          <w:p w14:paraId="183BF78B" w14:textId="6201D19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Entire manuscript</w:t>
            </w:r>
          </w:p>
        </w:tc>
      </w:tr>
    </w:tbl>
    <w:p w14:paraId="5C9132BC" w14:textId="77D072FC" w:rsidR="00AD38BC" w:rsidRPr="00ED0D12" w:rsidRDefault="00AD38BC">
      <w:pPr>
        <w:rPr>
          <w:rFonts w:ascii="Arial" w:hAnsi="Arial" w:cs="Arial"/>
        </w:rPr>
      </w:pPr>
    </w:p>
    <w:p w14:paraId="12D81660" w14:textId="0B2444E8" w:rsidR="00AD38BC" w:rsidRPr="00ED0D12" w:rsidRDefault="00AD38BC">
      <w:pPr>
        <w:rPr>
          <w:rFonts w:ascii="Arial" w:hAnsi="Arial" w:cs="Arial"/>
          <w:b/>
          <w:bCs/>
        </w:rPr>
      </w:pPr>
      <w:r w:rsidRPr="00ED0D12">
        <w:rPr>
          <w:rFonts w:ascii="Arial" w:hAnsi="Arial" w:cs="Arial"/>
          <w:b/>
          <w:bCs/>
        </w:rPr>
        <w:t xml:space="preserve">Reviewer </w:t>
      </w:r>
      <w:proofErr w:type="gramStart"/>
      <w:r w:rsidRPr="00ED0D12">
        <w:rPr>
          <w:rFonts w:ascii="Arial" w:hAnsi="Arial" w:cs="Arial"/>
          <w:b/>
          <w:bCs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831"/>
        <w:gridCol w:w="1982"/>
      </w:tblGrid>
      <w:tr w:rsidR="00873BEB" w:rsidRPr="00873BEB" w14:paraId="33B522FC" w14:textId="77777777" w:rsidTr="00873BEB">
        <w:tc>
          <w:tcPr>
            <w:tcW w:w="704" w:type="dxa"/>
            <w:vAlign w:val="center"/>
          </w:tcPr>
          <w:p w14:paraId="17B02871" w14:textId="1291838B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2410" w:type="dxa"/>
            <w:vAlign w:val="center"/>
          </w:tcPr>
          <w:p w14:paraId="5C0C2E7F" w14:textId="31E20B4A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Reviewer’s Comment</w:t>
            </w:r>
          </w:p>
        </w:tc>
        <w:tc>
          <w:tcPr>
            <w:tcW w:w="2831" w:type="dxa"/>
            <w:vAlign w:val="center"/>
          </w:tcPr>
          <w:p w14:paraId="5A60A7DC" w14:textId="42481B8D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Author’s Response</w:t>
            </w:r>
          </w:p>
        </w:tc>
        <w:tc>
          <w:tcPr>
            <w:tcW w:w="1982" w:type="dxa"/>
            <w:vAlign w:val="center"/>
          </w:tcPr>
          <w:p w14:paraId="49148813" w14:textId="6D8615DC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Changes in Manuscript</w:t>
            </w:r>
          </w:p>
        </w:tc>
      </w:tr>
      <w:tr w:rsidR="00873BEB" w:rsidRPr="00873BEB" w14:paraId="60890FBE" w14:textId="77777777" w:rsidTr="00873BEB">
        <w:tc>
          <w:tcPr>
            <w:tcW w:w="704" w:type="dxa"/>
            <w:vAlign w:val="center"/>
          </w:tcPr>
          <w:p w14:paraId="42BDFE9D" w14:textId="743F73A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vAlign w:val="center"/>
          </w:tcPr>
          <w:p w14:paraId="0DDD95CB" w14:textId="1481811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Minor revision needed.</w:t>
            </w:r>
          </w:p>
        </w:tc>
        <w:tc>
          <w:tcPr>
            <w:tcW w:w="2831" w:type="dxa"/>
            <w:vAlign w:val="center"/>
          </w:tcPr>
          <w:p w14:paraId="08C84E89" w14:textId="4DAC71E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manuscript has been thoroughly reviewed and revised according to the suggestions from Reviewers 1 and 3. No objections.</w:t>
            </w:r>
          </w:p>
        </w:tc>
        <w:tc>
          <w:tcPr>
            <w:tcW w:w="1982" w:type="dxa"/>
            <w:vAlign w:val="center"/>
          </w:tcPr>
          <w:p w14:paraId="0779A3AE" w14:textId="50CA9BF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Minor revisions throughout the manuscript</w:t>
            </w:r>
          </w:p>
        </w:tc>
      </w:tr>
    </w:tbl>
    <w:p w14:paraId="097436ED" w14:textId="14B51441" w:rsidR="00AD38BC" w:rsidRPr="00ED0D12" w:rsidRDefault="00AD38BC">
      <w:pPr>
        <w:rPr>
          <w:rFonts w:ascii="Arial" w:hAnsi="Arial" w:cs="Arial"/>
          <w:b/>
          <w:bCs/>
        </w:rPr>
      </w:pPr>
    </w:p>
    <w:p w14:paraId="01D6AB21" w14:textId="6347F933" w:rsidR="00AD38BC" w:rsidRPr="00ED0D12" w:rsidRDefault="00AD38BC">
      <w:pPr>
        <w:rPr>
          <w:rFonts w:ascii="Arial" w:hAnsi="Arial" w:cs="Arial"/>
          <w:b/>
          <w:bCs/>
        </w:rPr>
      </w:pPr>
      <w:r w:rsidRPr="00ED0D12">
        <w:rPr>
          <w:rFonts w:ascii="Arial" w:hAnsi="Arial" w:cs="Arial"/>
          <w:b/>
          <w:bCs/>
        </w:rPr>
        <w:t xml:space="preserve">Reviewer </w:t>
      </w:r>
      <w:proofErr w:type="gramStart"/>
      <w:r w:rsidRPr="00ED0D12">
        <w:rPr>
          <w:rFonts w:ascii="Arial" w:hAnsi="Arial" w:cs="Arial"/>
          <w:b/>
          <w:bCs/>
        </w:rPr>
        <w:t>3 :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2230"/>
        <w:gridCol w:w="3465"/>
        <w:gridCol w:w="1661"/>
      </w:tblGrid>
      <w:tr w:rsidR="00873BEB" w:rsidRPr="00873BEB" w14:paraId="2C2CB45B" w14:textId="77777777" w:rsidTr="00873BEB">
        <w:tc>
          <w:tcPr>
            <w:tcW w:w="299" w:type="pct"/>
            <w:vAlign w:val="center"/>
          </w:tcPr>
          <w:p w14:paraId="0F568D70" w14:textId="6A5206AF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1427" w:type="pct"/>
            <w:vAlign w:val="center"/>
          </w:tcPr>
          <w:p w14:paraId="067CCC65" w14:textId="4B6AA959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Reviewer’s Comment</w:t>
            </w:r>
          </w:p>
        </w:tc>
        <w:tc>
          <w:tcPr>
            <w:tcW w:w="2206" w:type="pct"/>
            <w:vAlign w:val="center"/>
          </w:tcPr>
          <w:p w14:paraId="7CB9F5D6" w14:textId="62AAD11F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Author’s Response</w:t>
            </w:r>
          </w:p>
        </w:tc>
        <w:tc>
          <w:tcPr>
            <w:tcW w:w="1068" w:type="pct"/>
            <w:vAlign w:val="center"/>
          </w:tcPr>
          <w:p w14:paraId="051906F6" w14:textId="0EC1DB53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Changes in Manuscript</w:t>
            </w:r>
          </w:p>
        </w:tc>
      </w:tr>
      <w:tr w:rsidR="00873BEB" w:rsidRPr="00873BEB" w14:paraId="15D2AC13" w14:textId="77777777" w:rsidTr="00873BEB">
        <w:tc>
          <w:tcPr>
            <w:tcW w:w="299" w:type="pct"/>
            <w:vAlign w:val="center"/>
          </w:tcPr>
          <w:p w14:paraId="4A0FC83F" w14:textId="49A44D6B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1</w:t>
            </w:r>
          </w:p>
        </w:tc>
        <w:tc>
          <w:tcPr>
            <w:tcW w:w="1427" w:type="pct"/>
            <w:vAlign w:val="center"/>
          </w:tcPr>
          <w:p w14:paraId="5A81F3C6" w14:textId="4E9037D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Figure titles should conform to journal format (e.g., "Fig. 1: Title").</w:t>
            </w:r>
          </w:p>
        </w:tc>
        <w:tc>
          <w:tcPr>
            <w:tcW w:w="2206" w:type="pct"/>
            <w:vAlign w:val="center"/>
          </w:tcPr>
          <w:p w14:paraId="4671D96E" w14:textId="79A25B63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figure titles have been adjusted to follow the journal’s required format, using "Fig. X: Title".</w:t>
            </w:r>
          </w:p>
        </w:tc>
        <w:tc>
          <w:tcPr>
            <w:tcW w:w="1068" w:type="pct"/>
            <w:vAlign w:val="center"/>
          </w:tcPr>
          <w:p w14:paraId="18AF3D63" w14:textId="572C84E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figures in the manuscript</w:t>
            </w:r>
          </w:p>
        </w:tc>
      </w:tr>
      <w:tr w:rsidR="00873BEB" w:rsidRPr="00873BEB" w14:paraId="3C4FEC92" w14:textId="77777777" w:rsidTr="00873BEB">
        <w:tc>
          <w:tcPr>
            <w:tcW w:w="299" w:type="pct"/>
            <w:vAlign w:val="center"/>
          </w:tcPr>
          <w:p w14:paraId="4E2015B7" w14:textId="6EC29D60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2</w:t>
            </w:r>
          </w:p>
        </w:tc>
        <w:tc>
          <w:tcPr>
            <w:tcW w:w="1427" w:type="pct"/>
            <w:vAlign w:val="center"/>
          </w:tcPr>
          <w:p w14:paraId="3FEDEBE4" w14:textId="48ED152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symbols in equations must be defined at first appearance.</w:t>
            </w:r>
          </w:p>
        </w:tc>
        <w:tc>
          <w:tcPr>
            <w:tcW w:w="2206" w:type="pct"/>
            <w:vAlign w:val="center"/>
          </w:tcPr>
          <w:p w14:paraId="257F5E93" w14:textId="34F188EE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mathematical symbols have been clearly defined at their first appearance in the manuscript.</w:t>
            </w:r>
          </w:p>
        </w:tc>
        <w:tc>
          <w:tcPr>
            <w:tcW w:w="1068" w:type="pct"/>
            <w:vAlign w:val="center"/>
          </w:tcPr>
          <w:p w14:paraId="225BF197" w14:textId="0B676B9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Chapter 2 – Research Methodology</w:t>
            </w:r>
          </w:p>
        </w:tc>
      </w:tr>
      <w:tr w:rsidR="00873BEB" w:rsidRPr="00873BEB" w14:paraId="057B30AB" w14:textId="77777777" w:rsidTr="00873BEB">
        <w:tc>
          <w:tcPr>
            <w:tcW w:w="299" w:type="pct"/>
            <w:vAlign w:val="center"/>
          </w:tcPr>
          <w:p w14:paraId="61337826" w14:textId="069423F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3</w:t>
            </w:r>
          </w:p>
        </w:tc>
        <w:tc>
          <w:tcPr>
            <w:tcW w:w="1427" w:type="pct"/>
            <w:vAlign w:val="center"/>
          </w:tcPr>
          <w:p w14:paraId="0E954537" w14:textId="0301929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Symbols and units in tables should be specified.</w:t>
            </w:r>
          </w:p>
        </w:tc>
        <w:tc>
          <w:tcPr>
            <w:tcW w:w="2206" w:type="pct"/>
            <w:vAlign w:val="center"/>
          </w:tcPr>
          <w:p w14:paraId="0F8D08AE" w14:textId="2C9A047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Symbols and units have been added or corrected in all tables to meet journal standards.</w:t>
            </w:r>
          </w:p>
        </w:tc>
        <w:tc>
          <w:tcPr>
            <w:tcW w:w="1068" w:type="pct"/>
            <w:vAlign w:val="center"/>
          </w:tcPr>
          <w:p w14:paraId="3092A971" w14:textId="1A2F5ED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tables in the manuscript</w:t>
            </w:r>
          </w:p>
        </w:tc>
      </w:tr>
      <w:tr w:rsidR="00873BEB" w:rsidRPr="00873BEB" w14:paraId="71D88C9E" w14:textId="77777777" w:rsidTr="00873BEB">
        <w:tc>
          <w:tcPr>
            <w:tcW w:w="299" w:type="pct"/>
            <w:vAlign w:val="center"/>
          </w:tcPr>
          <w:p w14:paraId="6206B0B7" w14:textId="6DF66D5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4</w:t>
            </w:r>
          </w:p>
        </w:tc>
        <w:tc>
          <w:tcPr>
            <w:tcW w:w="1427" w:type="pct"/>
            <w:vAlign w:val="center"/>
          </w:tcPr>
          <w:p w14:paraId="35B636D8" w14:textId="6958EC0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Units in graphs should use square brackets </w:t>
            </w:r>
            <w:proofErr w:type="gramStart"/>
            <w:r w:rsidRPr="00873BEB">
              <w:rPr>
                <w:rFonts w:ascii="Arial" w:hAnsi="Arial" w:cs="Arial"/>
              </w:rPr>
              <w:t>[ ]</w:t>
            </w:r>
            <w:proofErr w:type="gramEnd"/>
            <w:r w:rsidRPr="00873BEB">
              <w:rPr>
                <w:rFonts w:ascii="Arial" w:hAnsi="Arial" w:cs="Arial"/>
              </w:rPr>
              <w:t xml:space="preserve"> not parentheses ( ).</w:t>
            </w:r>
          </w:p>
        </w:tc>
        <w:tc>
          <w:tcPr>
            <w:tcW w:w="2206" w:type="pct"/>
            <w:vAlign w:val="center"/>
          </w:tcPr>
          <w:p w14:paraId="2A62D88F" w14:textId="769A733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All graphs have been corrected to use units in square brackets </w:t>
            </w:r>
            <w:proofErr w:type="gramStart"/>
            <w:r w:rsidRPr="00873BEB">
              <w:rPr>
                <w:rFonts w:ascii="Arial" w:hAnsi="Arial" w:cs="Arial"/>
              </w:rPr>
              <w:t>[ ]</w:t>
            </w:r>
            <w:proofErr w:type="gramEnd"/>
            <w:r w:rsidRPr="00873BEB">
              <w:rPr>
                <w:rFonts w:ascii="Arial" w:hAnsi="Arial" w:cs="Arial"/>
              </w:rPr>
              <w:t xml:space="preserve"> according to journal guidelines.</w:t>
            </w:r>
          </w:p>
        </w:tc>
        <w:tc>
          <w:tcPr>
            <w:tcW w:w="1068" w:type="pct"/>
            <w:vAlign w:val="center"/>
          </w:tcPr>
          <w:p w14:paraId="2D1AA27E" w14:textId="29CC789B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Chapter 4, graphs</w:t>
            </w:r>
          </w:p>
        </w:tc>
      </w:tr>
      <w:tr w:rsidR="00873BEB" w:rsidRPr="00873BEB" w14:paraId="751D06FB" w14:textId="77777777" w:rsidTr="00873BEB">
        <w:tc>
          <w:tcPr>
            <w:tcW w:w="299" w:type="pct"/>
            <w:vAlign w:val="center"/>
          </w:tcPr>
          <w:p w14:paraId="1B97893B" w14:textId="1F81A86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5</w:t>
            </w:r>
          </w:p>
        </w:tc>
        <w:tc>
          <w:tcPr>
            <w:tcW w:w="1427" w:type="pct"/>
            <w:vAlign w:val="center"/>
          </w:tcPr>
          <w:p w14:paraId="1F784B6A" w14:textId="7195AA59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 should follow journal style.</w:t>
            </w:r>
          </w:p>
        </w:tc>
        <w:tc>
          <w:tcPr>
            <w:tcW w:w="2206" w:type="pct"/>
            <w:vAlign w:val="center"/>
          </w:tcPr>
          <w:p w14:paraId="64F1F713" w14:textId="5F4A33C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reference format has been adjusted to comply with the journal’s guidelines.</w:t>
            </w:r>
          </w:p>
        </w:tc>
        <w:tc>
          <w:tcPr>
            <w:tcW w:w="1068" w:type="pct"/>
            <w:vAlign w:val="center"/>
          </w:tcPr>
          <w:p w14:paraId="31A07E60" w14:textId="07483E9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</w:t>
            </w:r>
          </w:p>
        </w:tc>
      </w:tr>
      <w:tr w:rsidR="00873BEB" w:rsidRPr="00873BEB" w14:paraId="76EF7C2E" w14:textId="77777777" w:rsidTr="00873BEB">
        <w:tc>
          <w:tcPr>
            <w:tcW w:w="299" w:type="pct"/>
            <w:vAlign w:val="center"/>
          </w:tcPr>
          <w:p w14:paraId="75A1D0C7" w14:textId="289D852B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6</w:t>
            </w:r>
          </w:p>
        </w:tc>
        <w:tc>
          <w:tcPr>
            <w:tcW w:w="1427" w:type="pct"/>
            <w:vAlign w:val="center"/>
          </w:tcPr>
          <w:p w14:paraId="5BD35D66" w14:textId="33FF5C2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number of references is relatively low.</w:t>
            </w:r>
          </w:p>
        </w:tc>
        <w:tc>
          <w:tcPr>
            <w:tcW w:w="2206" w:type="pct"/>
            <w:vAlign w:val="center"/>
          </w:tcPr>
          <w:p w14:paraId="56B2FCAD" w14:textId="162D2F4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The number of references has been increased, including the addition of two recent references from CEE journals (2023–2024).</w:t>
            </w:r>
          </w:p>
        </w:tc>
        <w:tc>
          <w:tcPr>
            <w:tcW w:w="1068" w:type="pct"/>
            <w:vAlign w:val="center"/>
          </w:tcPr>
          <w:p w14:paraId="2B9464E5" w14:textId="534948AD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References</w:t>
            </w:r>
          </w:p>
        </w:tc>
      </w:tr>
    </w:tbl>
    <w:p w14:paraId="5B300F77" w14:textId="67292814" w:rsidR="00AD38BC" w:rsidRDefault="00AD38BC">
      <w:pPr>
        <w:rPr>
          <w:rFonts w:ascii="Arial" w:hAnsi="Arial" w:cs="Arial"/>
        </w:rPr>
      </w:pPr>
    </w:p>
    <w:p w14:paraId="30F37137" w14:textId="064B1EAE" w:rsidR="00873BEB" w:rsidRDefault="00873BEB">
      <w:pPr>
        <w:rPr>
          <w:rFonts w:ascii="Arial" w:hAnsi="Arial" w:cs="Arial"/>
        </w:rPr>
      </w:pPr>
    </w:p>
    <w:p w14:paraId="0AE4A892" w14:textId="77777777" w:rsidR="00873BEB" w:rsidRPr="00ED0D12" w:rsidRDefault="00873BEB">
      <w:pPr>
        <w:rPr>
          <w:rFonts w:ascii="Arial" w:hAnsi="Arial" w:cs="Arial"/>
        </w:rPr>
      </w:pPr>
    </w:p>
    <w:p w14:paraId="5BB7694E" w14:textId="6B0D0A43" w:rsidR="00036D5A" w:rsidRDefault="00036D5A" w:rsidP="00036D5A">
      <w:pPr>
        <w:ind w:right="1558"/>
        <w:jc w:val="both"/>
        <w:rPr>
          <w:rFonts w:ascii="Arial" w:hAnsi="Arial" w:cs="Arial"/>
          <w:b/>
          <w:bCs/>
          <w:sz w:val="24"/>
          <w:szCs w:val="24"/>
        </w:rPr>
      </w:pPr>
      <w:r w:rsidRPr="00ED0D12">
        <w:rPr>
          <w:rFonts w:ascii="Arial" w:hAnsi="Arial" w:cs="Arial"/>
          <w:b/>
          <w:bCs/>
          <w:sz w:val="24"/>
          <w:szCs w:val="24"/>
        </w:rPr>
        <w:lastRenderedPageBreak/>
        <w:t>Review Results: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1"/>
        <w:gridCol w:w="1366"/>
        <w:gridCol w:w="2580"/>
        <w:gridCol w:w="3410"/>
      </w:tblGrid>
      <w:tr w:rsidR="00873BEB" w:rsidRPr="00873BEB" w14:paraId="336004B9" w14:textId="77777777" w:rsidTr="00873BEB">
        <w:tc>
          <w:tcPr>
            <w:tcW w:w="305" w:type="pct"/>
            <w:vAlign w:val="center"/>
          </w:tcPr>
          <w:p w14:paraId="00864886" w14:textId="58584671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762" w:type="pct"/>
            <w:vAlign w:val="center"/>
          </w:tcPr>
          <w:p w14:paraId="0D0A6A98" w14:textId="1A1AEA50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About</w:t>
            </w:r>
          </w:p>
        </w:tc>
        <w:tc>
          <w:tcPr>
            <w:tcW w:w="1704" w:type="pct"/>
            <w:vAlign w:val="center"/>
          </w:tcPr>
          <w:p w14:paraId="3A98E5E4" w14:textId="12381857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Reviewer’s Comment</w:t>
            </w:r>
          </w:p>
        </w:tc>
        <w:tc>
          <w:tcPr>
            <w:tcW w:w="2228" w:type="pct"/>
            <w:vAlign w:val="center"/>
          </w:tcPr>
          <w:p w14:paraId="16B831ED" w14:textId="27DAEA64" w:rsidR="00873BEB" w:rsidRPr="00873BEB" w:rsidRDefault="00873BEB" w:rsidP="00873BEB">
            <w:pPr>
              <w:jc w:val="center"/>
              <w:rPr>
                <w:rFonts w:ascii="Arial" w:hAnsi="Arial" w:cs="Arial"/>
                <w:b/>
                <w:bCs/>
              </w:rPr>
            </w:pPr>
            <w:r w:rsidRPr="00873BEB">
              <w:rPr>
                <w:rFonts w:ascii="Arial" w:hAnsi="Arial" w:cs="Arial"/>
                <w:b/>
                <w:bCs/>
              </w:rPr>
              <w:t>Response</w:t>
            </w:r>
          </w:p>
        </w:tc>
      </w:tr>
      <w:tr w:rsidR="00873BEB" w:rsidRPr="00873BEB" w14:paraId="64B0DE72" w14:textId="77777777" w:rsidTr="00873BEB">
        <w:tc>
          <w:tcPr>
            <w:tcW w:w="305" w:type="pct"/>
            <w:vAlign w:val="center"/>
          </w:tcPr>
          <w:p w14:paraId="05A20CD2" w14:textId="145ED93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1</w:t>
            </w:r>
          </w:p>
        </w:tc>
        <w:tc>
          <w:tcPr>
            <w:tcW w:w="762" w:type="pct"/>
            <w:vAlign w:val="center"/>
          </w:tcPr>
          <w:p w14:paraId="00239030" w14:textId="7E26FAA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Title</w:t>
            </w:r>
          </w:p>
        </w:tc>
        <w:tc>
          <w:tcPr>
            <w:tcW w:w="1704" w:type="pct"/>
            <w:vAlign w:val="center"/>
          </w:tcPr>
          <w:p w14:paraId="34D27F13" w14:textId="716D109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Is the paper about the design of reservoir capacity? It should be mentioned in the title.</w:t>
            </w:r>
          </w:p>
        </w:tc>
        <w:tc>
          <w:tcPr>
            <w:tcW w:w="2228" w:type="pct"/>
            <w:vAlign w:val="center"/>
          </w:tcPr>
          <w:p w14:paraId="0A61CAE1" w14:textId="78B617E7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Yes, the main focus of this article is on the planning of reservoir capacity for flood control in the Upper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watershed. The title has been revised accordingly to better reflect this focus.</w:t>
            </w:r>
          </w:p>
        </w:tc>
      </w:tr>
      <w:tr w:rsidR="00873BEB" w:rsidRPr="00873BEB" w14:paraId="56215857" w14:textId="77777777" w:rsidTr="00873BEB">
        <w:tc>
          <w:tcPr>
            <w:tcW w:w="305" w:type="pct"/>
            <w:vAlign w:val="center"/>
          </w:tcPr>
          <w:p w14:paraId="7052AAE8" w14:textId="32866F4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2</w:t>
            </w:r>
          </w:p>
        </w:tc>
        <w:tc>
          <w:tcPr>
            <w:tcW w:w="762" w:type="pct"/>
            <w:vAlign w:val="center"/>
          </w:tcPr>
          <w:p w14:paraId="665BAA4E" w14:textId="27EABF26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Abstract</w:t>
            </w:r>
          </w:p>
        </w:tc>
        <w:tc>
          <w:tcPr>
            <w:tcW w:w="1704" w:type="pct"/>
            <w:vAlign w:val="center"/>
          </w:tcPr>
          <w:p w14:paraId="2E736AE9" w14:textId="6F212A2B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The objective of this study is to </w:t>
            </w:r>
            <w:proofErr w:type="spellStart"/>
            <w:r w:rsidRPr="00873BEB">
              <w:rPr>
                <w:rFonts w:ascii="Arial" w:hAnsi="Arial" w:cs="Arial"/>
              </w:rPr>
              <w:t>analyze</w:t>
            </w:r>
            <w:proofErr w:type="spellEnd"/>
            <w:r w:rsidRPr="00873BEB">
              <w:rPr>
                <w:rFonts w:ascii="Arial" w:hAnsi="Arial" w:cs="Arial"/>
              </w:rPr>
              <w:t xml:space="preserve"> the hydrological characteristics in the upstream area of the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River watershed to plan the reservoir capacity as a flood control effort. Are those words suitable?</w:t>
            </w:r>
          </w:p>
        </w:tc>
        <w:tc>
          <w:tcPr>
            <w:tcW w:w="2228" w:type="pct"/>
            <w:vAlign w:val="center"/>
          </w:tcPr>
          <w:p w14:paraId="1CD94463" w14:textId="2DBB5D0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Thank you for the suggestion. The sentence is fundamentally sound, but it has been refined to be more concise and formal: “The objective of this study is to assess the hydrological </w:t>
            </w:r>
            <w:proofErr w:type="spellStart"/>
            <w:r w:rsidRPr="00873BEB">
              <w:rPr>
                <w:rFonts w:ascii="Arial" w:hAnsi="Arial" w:cs="Arial"/>
              </w:rPr>
              <w:t>behavior</w:t>
            </w:r>
            <w:proofErr w:type="spellEnd"/>
            <w:r w:rsidRPr="00873BEB">
              <w:rPr>
                <w:rFonts w:ascii="Arial" w:hAnsi="Arial" w:cs="Arial"/>
              </w:rPr>
              <w:t xml:space="preserve"> of the upper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River watershed to inform reservoir capacity planning for effective flood mitigation.”</w:t>
            </w:r>
          </w:p>
        </w:tc>
      </w:tr>
      <w:tr w:rsidR="00873BEB" w:rsidRPr="00873BEB" w14:paraId="1B5DF46C" w14:textId="77777777" w:rsidTr="00873BEB">
        <w:tc>
          <w:tcPr>
            <w:tcW w:w="305" w:type="pct"/>
            <w:vAlign w:val="center"/>
          </w:tcPr>
          <w:p w14:paraId="5846DB4B" w14:textId="07EBD2B9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3</w:t>
            </w:r>
          </w:p>
        </w:tc>
        <w:tc>
          <w:tcPr>
            <w:tcW w:w="762" w:type="pct"/>
            <w:vAlign w:val="center"/>
          </w:tcPr>
          <w:p w14:paraId="78A12B2B" w14:textId="0FA86D5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Introduction</w:t>
            </w:r>
          </w:p>
        </w:tc>
        <w:tc>
          <w:tcPr>
            <w:tcW w:w="1704" w:type="pct"/>
            <w:vAlign w:val="center"/>
          </w:tcPr>
          <w:p w14:paraId="3157B659" w14:textId="7281CCF8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Urban catchment areas such as the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River in Padang City, West Sumatra, Indonesia, continue to experience land use changes. Is it correct?</w:t>
            </w:r>
          </w:p>
        </w:tc>
        <w:tc>
          <w:tcPr>
            <w:tcW w:w="2228" w:type="pct"/>
            <w:vAlign w:val="center"/>
          </w:tcPr>
          <w:p w14:paraId="0CFB2F9B" w14:textId="783B72D0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Yes, this statement is accurate and contextually appropriate. The manuscript includes a well-founded discussion supported by historical data that demonstrates continuous land use changes in the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watershed.</w:t>
            </w:r>
          </w:p>
        </w:tc>
      </w:tr>
      <w:tr w:rsidR="00873BEB" w:rsidRPr="00873BEB" w14:paraId="5A5901E9" w14:textId="77777777" w:rsidTr="00873BEB">
        <w:tc>
          <w:tcPr>
            <w:tcW w:w="305" w:type="pct"/>
            <w:vAlign w:val="center"/>
          </w:tcPr>
          <w:p w14:paraId="7E76A607" w14:textId="1BB0935F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4a</w:t>
            </w:r>
          </w:p>
        </w:tc>
        <w:tc>
          <w:tcPr>
            <w:tcW w:w="762" w:type="pct"/>
            <w:vAlign w:val="center"/>
          </w:tcPr>
          <w:p w14:paraId="20E97544" w14:textId="2C3E188A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Research Methods</w:t>
            </w:r>
          </w:p>
        </w:tc>
        <w:tc>
          <w:tcPr>
            <w:tcW w:w="1704" w:type="pct"/>
            <w:vAlign w:val="center"/>
          </w:tcPr>
          <w:p w14:paraId="28CC4FBC" w14:textId="7542DB71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For every equation: there is no explanation of the symbols.</w:t>
            </w:r>
          </w:p>
        </w:tc>
        <w:tc>
          <w:tcPr>
            <w:tcW w:w="2228" w:type="pct"/>
            <w:vAlign w:val="center"/>
          </w:tcPr>
          <w:p w14:paraId="411B9612" w14:textId="3A7D7B2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All equations and their corresponding symbols have been added and clearly explained in the latest revised version of the manuscript.</w:t>
            </w:r>
          </w:p>
        </w:tc>
      </w:tr>
      <w:tr w:rsidR="00873BEB" w:rsidRPr="00873BEB" w14:paraId="5DD3BE44" w14:textId="77777777" w:rsidTr="00873BEB">
        <w:tc>
          <w:tcPr>
            <w:tcW w:w="305" w:type="pct"/>
            <w:vAlign w:val="center"/>
          </w:tcPr>
          <w:p w14:paraId="23AB2B87" w14:textId="7AE9ABD4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4b</w:t>
            </w:r>
          </w:p>
        </w:tc>
        <w:tc>
          <w:tcPr>
            <w:tcW w:w="762" w:type="pct"/>
            <w:vAlign w:val="center"/>
          </w:tcPr>
          <w:p w14:paraId="5947E4B0" w14:textId="6D6A1F0C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Research Methods</w:t>
            </w:r>
          </w:p>
        </w:tc>
        <w:tc>
          <w:tcPr>
            <w:tcW w:w="1704" w:type="pct"/>
            <w:vAlign w:val="center"/>
          </w:tcPr>
          <w:p w14:paraId="78B19263" w14:textId="70635D31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 xml:space="preserve">Design flood discharge (Subchapter 2.4): </w:t>
            </w:r>
            <w:r w:rsidR="00574AD1">
              <w:rPr>
                <w:rFonts w:ascii="Arial" w:hAnsi="Arial" w:cs="Arial"/>
              </w:rPr>
              <w:t>How</w:t>
            </w:r>
            <w:r w:rsidRPr="00873BEB">
              <w:rPr>
                <w:rFonts w:ascii="Arial" w:hAnsi="Arial" w:cs="Arial"/>
              </w:rPr>
              <w:t xml:space="preserve"> to determine the most suitable runoff coefficient (C) in the calculation?</w:t>
            </w:r>
          </w:p>
        </w:tc>
        <w:tc>
          <w:tcPr>
            <w:tcW w:w="2228" w:type="pct"/>
            <w:vAlign w:val="center"/>
          </w:tcPr>
          <w:p w14:paraId="4F49D095" w14:textId="36E305D2" w:rsidR="00873BEB" w:rsidRPr="00873BEB" w:rsidRDefault="00873BEB" w:rsidP="00873BEB">
            <w:pPr>
              <w:jc w:val="center"/>
              <w:rPr>
                <w:rFonts w:ascii="Arial" w:hAnsi="Arial" w:cs="Arial"/>
              </w:rPr>
            </w:pPr>
            <w:r w:rsidRPr="00873BEB">
              <w:rPr>
                <w:rFonts w:ascii="Arial" w:hAnsi="Arial" w:cs="Arial"/>
              </w:rPr>
              <w:t>Thank you for your valuable feedback. I have added a detailed exp</w:t>
            </w:r>
            <w:bookmarkStart w:id="0" w:name="_GoBack"/>
            <w:bookmarkEnd w:id="0"/>
            <w:r w:rsidRPr="00873BEB">
              <w:rPr>
                <w:rFonts w:ascii="Arial" w:hAnsi="Arial" w:cs="Arial"/>
              </w:rPr>
              <w:t xml:space="preserve">lanation in Subchapter 2.4 regarding the selection of the most appropriate runoff coefficient (C) based on land cover conditions and soil types in the Upper </w:t>
            </w:r>
            <w:proofErr w:type="spellStart"/>
            <w:r w:rsidRPr="00873BEB">
              <w:rPr>
                <w:rFonts w:ascii="Arial" w:hAnsi="Arial" w:cs="Arial"/>
              </w:rPr>
              <w:t>Kuranji</w:t>
            </w:r>
            <w:proofErr w:type="spellEnd"/>
            <w:r w:rsidRPr="00873BEB">
              <w:rPr>
                <w:rFonts w:ascii="Arial" w:hAnsi="Arial" w:cs="Arial"/>
              </w:rPr>
              <w:t xml:space="preserve"> River watershed. This includes the use of a value of 0.70 for residential areas with paved surfaces, reflecting observed local conditions.</w:t>
            </w:r>
          </w:p>
        </w:tc>
      </w:tr>
    </w:tbl>
    <w:p w14:paraId="7605A9AC" w14:textId="6B64B47E" w:rsidR="00714CF5" w:rsidRPr="00ED0D12" w:rsidRDefault="00714CF5" w:rsidP="00ED0D12">
      <w:pPr>
        <w:ind w:right="1558"/>
        <w:jc w:val="both"/>
        <w:rPr>
          <w:rFonts w:ascii="Arial" w:hAnsi="Arial" w:cs="Arial"/>
        </w:rPr>
      </w:pPr>
    </w:p>
    <w:sectPr w:rsidR="00714CF5" w:rsidRPr="00ED0D12" w:rsidSect="00E60EF7">
      <w:type w:val="continuous"/>
      <w:pgSz w:w="11906" w:h="16838"/>
      <w:pgMar w:top="1701" w:right="1701" w:bottom="1701" w:left="2268" w:header="709" w:footer="709" w:gutter="0"/>
      <w:cols w:space="720" w:equalWidth="0">
        <w:col w:w="9360"/>
      </w:cols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BC"/>
    <w:rsid w:val="000225EC"/>
    <w:rsid w:val="00036D5A"/>
    <w:rsid w:val="00082488"/>
    <w:rsid w:val="0021374D"/>
    <w:rsid w:val="00230705"/>
    <w:rsid w:val="002B6867"/>
    <w:rsid w:val="003070BA"/>
    <w:rsid w:val="00347A85"/>
    <w:rsid w:val="003807F1"/>
    <w:rsid w:val="00434FEF"/>
    <w:rsid w:val="00490E01"/>
    <w:rsid w:val="00574AD1"/>
    <w:rsid w:val="00595B15"/>
    <w:rsid w:val="00714CF5"/>
    <w:rsid w:val="007615D0"/>
    <w:rsid w:val="00812C5B"/>
    <w:rsid w:val="00873BEB"/>
    <w:rsid w:val="00AB7231"/>
    <w:rsid w:val="00AD38BC"/>
    <w:rsid w:val="00AE5400"/>
    <w:rsid w:val="00AE7699"/>
    <w:rsid w:val="00C0053A"/>
    <w:rsid w:val="00C652F8"/>
    <w:rsid w:val="00DF1B1B"/>
    <w:rsid w:val="00E20FB9"/>
    <w:rsid w:val="00E60EF7"/>
    <w:rsid w:val="00ED0D12"/>
    <w:rsid w:val="00F53D61"/>
    <w:rsid w:val="00F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38878D"/>
  <w15:chartTrackingRefBased/>
  <w15:docId w15:val="{6F1B368C-92AB-434A-ADF4-5A1F006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7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877</Words>
  <Characters>4944</Characters>
  <Application>Microsoft Office Word</Application>
  <DocSecurity>0</DocSecurity>
  <Lines>329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12</cp:revision>
  <cp:lastPrinted>2025-06-01T14:37:00Z</cp:lastPrinted>
  <dcterms:created xsi:type="dcterms:W3CDTF">2025-06-01T09:38:00Z</dcterms:created>
  <dcterms:modified xsi:type="dcterms:W3CDTF">2025-06-01T14:39:00Z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a5e035ed-3e8f-428c-b681-b44cb5b6d5b0</vt:lpwstr>
  </property>
</Properties>
</file>