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10" w:line="285" w:lineRule="auto"/>
      </w:pPr>
      <w:r>
        <w:rPr>
          <w:rFonts w:ascii="Aptos" w:hAnsi="Aptos"/>
          <w:sz w:val="40"/>
          <w:color w:val="000000"/>
          <w:b/>
        </w:rPr>
        <w:t xml:space="preserve">Rekap Microconversion Landing Page C8 hingga C11</w:t>
      </w:r>
    </w:p>
    <w:p>
      <w:pPr>
        <w:spacing w:before="0" w:after="120" w:line="285" w:lineRule="auto"/>
      </w:pPr>
      <w:r>
        <w:rPr>
          <w:rFonts w:ascii="Aptos" w:hAnsi="Aptos"/>
          <w:sz w:val="20"/>
          <w:color w:val="000000"/>
        </w:rPr>
        <w:t xml:space="preserve">Dokumen ini merangkum tindakan pengunjung yang dicatat oleh implementasi analytics pada landing page mulai dari C8. Rekap menunjukkan jenis event yang tersedia, bukan jumlah kejadian atau hasil penjualan.</w:t>
      </w:r>
    </w:p>
    <w:p>
      <w:pPr>
        <w:keepNext/>
        <w:spacing w:before="260" w:after="110" w:line="285" w:lineRule="auto"/>
      </w:pPr>
      <w:r>
        <w:rPr>
          <w:rFonts w:ascii="Aptos" w:hAnsi="Aptos"/>
          <w:sz w:val="25"/>
          <w:color w:val="000000"/>
          <w:b/>
        </w:rPr>
        <w:t xml:space="preserve">Cakupan halaman</w:t>
      </w:r>
    </w:p>
    <w:tbl>
      <w:tblPr>
        <w:tblW w:w="144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200"/>
        <w:gridCol w:w="4300"/>
        <w:gridCol w:w="3600"/>
        <w:gridCol w:w="4300"/>
      </w:tblGrid>
      <w:tr>
        <w:trPr>
          <w:tblHeader w:val="true"/>
        </w:trPr>
        <w:tc>
          <w:tcPr>
            <w:tcW w:w="2200" w:type="dxa"/>
            <w:shd w:fill="243B59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8"/>
                <w:color w:val="FFFFFF"/>
                <w:b/>
              </w:rPr>
              <w:t xml:space="preserve">Versi</w:t>
            </w:r>
          </w:p>
        </w:tc>
        <w:tc>
          <w:tcPr>
            <w:tcW w:w="4300" w:type="dxa"/>
            <w:shd w:fill="243B59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8"/>
                <w:color w:val="FFFFFF"/>
                <w:b/>
              </w:rPr>
              <w:t xml:space="preserve">Alamat halaman</w:t>
            </w:r>
          </w:p>
        </w:tc>
        <w:tc>
          <w:tcPr>
            <w:tcW w:w="3600" w:type="dxa"/>
            <w:shd w:fill="243B59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8"/>
                <w:color w:val="FFFFFF"/>
                <w:b/>
              </w:rPr>
              <w:t xml:space="preserve">Implementasi</w:t>
            </w:r>
          </w:p>
        </w:tc>
        <w:tc>
          <w:tcPr>
            <w:tcW w:w="4300" w:type="dxa"/>
            <w:shd w:fill="243B59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8"/>
                <w:color w:val="FFFFFF"/>
                <w:b/>
              </w:rPr>
              <w:t xml:space="preserve">Catatan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C8</w:t>
            </w:r>
          </w:p>
        </w:tc>
        <w:tc>
          <w:tcPr>
            <w:tcW w:w="43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/c8-angle-1</w:t>
            </w:r>
            <w:r>
              <w:br/>
            </w:r>
            <w:r>
              <w:rPr>
                <w:rFonts w:ascii="Aptos" w:hAnsi="Aptos"/>
                <w:sz w:val="17"/>
                <w:color w:val="171717"/>
              </w:rPr>
              <w:t xml:space="preserve">/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cycle8/angle-1</w:t>
            </w:r>
          </w:p>
        </w:tc>
        <w:tc>
          <w:tcPr>
            <w:tcW w:w="43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Route utama situs memakai komponen C8 yang sama.</w:t>
            </w:r>
          </w:p>
        </w:tc>
      </w:tr>
      <w:tr>
        <w:tc>
          <w:tcPr>
            <w:tcW w:w="22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C10</w:t>
            </w:r>
          </w:p>
        </w:tc>
        <w:tc>
          <w:tcPr>
            <w:tcW w:w="43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/c10-lp</w:t>
            </w:r>
            <w:r>
              <w:br/>
            </w:r>
            <w:r>
              <w:rPr>
                <w:rFonts w:ascii="Aptos" w:hAnsi="Aptos"/>
                <w:sz w:val="17"/>
                <w:color w:val="171717"/>
              </w:rPr>
              <w:t xml:space="preserve">/bio-ig-toefl-hack/toefl-hack</w:t>
            </w:r>
            <w:r>
              <w:br/>
            </w:r>
            <w:r>
              <w:rPr>
                <w:rFonts w:ascii="Aptos" w:hAnsi="Aptos"/>
                <w:sz w:val="17"/>
                <w:color w:val="171717"/>
              </w:rPr>
              <w:t xml:space="preserve">/e-course-toefl-hack</w:t>
            </w:r>
          </w:p>
        </w:tc>
        <w:tc>
          <w:tcPr>
            <w:tcW w:w="36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cycle10/LandingPage</w:t>
            </w:r>
          </w:p>
        </w:tc>
        <w:tc>
          <w:tcPr>
            <w:tcW w:w="43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Keempat alamat memakai komponen yang sama.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C11</w:t>
            </w:r>
          </w:p>
        </w:tc>
        <w:tc>
          <w:tcPr>
            <w:tcW w:w="43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/c11-problem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cycle11/LandingPage</w:t>
            </w:r>
          </w:p>
        </w:tc>
        <w:tc>
          <w:tcPr>
            <w:tcW w:w="43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Memiliki webhook Scalev untuk pembayaran terverifikasi.</w:t>
            </w:r>
          </w:p>
        </w:tc>
      </w:tr>
    </w:tbl>
    <w:p>
      <w:pPr>
        <w:spacing w:after="65"/>
      </w:pPr>
    </w:p>
    <w:p>
      <w:pPr>
        <w:keepNext/>
        <w:spacing w:before="260" w:after="110" w:line="285" w:lineRule="auto"/>
      </w:pPr>
      <w:r>
        <w:rPr>
          <w:rFonts w:ascii="Aptos" w:hAnsi="Aptos"/>
          <w:sz w:val="25"/>
          <w:color w:val="000000"/>
          <w:b/>
        </w:rPr>
        <w:t xml:space="preserve">Matriks microconversion</w:t>
      </w:r>
    </w:p>
    <w:tbl>
      <w:tblPr>
        <w:tblW w:w="144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200"/>
        <w:gridCol w:w="4300"/>
        <w:gridCol w:w="3600"/>
        <w:gridCol w:w="4300"/>
      </w:tblGrid>
      <w:tr>
        <w:trPr>
          <w:tblHeader w:val="true"/>
        </w:trPr>
        <w:tc>
          <w:tcPr>
            <w:tcW w:w="2200" w:type="dxa"/>
            <w:shd w:fill="243B59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8"/>
                <w:color w:val="FFFFFF"/>
                <w:b/>
              </w:rPr>
              <w:t xml:space="preserve">Halaman</w:t>
            </w:r>
          </w:p>
        </w:tc>
        <w:tc>
          <w:tcPr>
            <w:tcW w:w="4300" w:type="dxa"/>
            <w:shd w:fill="243B59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8"/>
                <w:color w:val="FFFFFF"/>
                <w:b/>
              </w:rPr>
              <w:t xml:space="preserve">Tindakan pengunjung</w:t>
            </w:r>
          </w:p>
        </w:tc>
        <w:tc>
          <w:tcPr>
            <w:tcW w:w="3600" w:type="dxa"/>
            <w:shd w:fill="243B59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8"/>
                <w:color w:val="FFFFFF"/>
                <w:b/>
              </w:rPr>
              <w:t xml:space="preserve">Event analytics</w:t>
            </w:r>
          </w:p>
        </w:tc>
        <w:tc>
          <w:tcPr>
            <w:tcW w:w="4300" w:type="dxa"/>
            <w:shd w:fill="243B59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8"/>
                <w:color w:val="FFFFFF"/>
                <w:b/>
              </w:rPr>
              <w:t xml:space="preserve">Makna pengukuran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C8, C10, C11</w:t>
            </w:r>
          </w:p>
        </w:tc>
        <w:tc>
          <w:tcPr>
            <w:tcW w:w="43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Klik CTA menuju bagian harga atau testimoni dari hero, navigasi, banner, dan bagian konten.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cta_click</w:t>
            </w:r>
            <w:r>
              <w:br/>
            </w:r>
            <w:r>
              <w:rPr>
                <w:rFonts w:ascii="Aptos" w:hAnsi="Aptos"/>
                <w:sz w:val="17"/>
                <w:color w:val="171717"/>
              </w:rPr>
              <w:t xml:space="preserve">location sesuai posisi tombol</w:t>
            </w:r>
          </w:p>
        </w:tc>
        <w:tc>
          <w:tcPr>
            <w:tcW w:w="43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Minat untuk melihat penawaran atau bukti alumni; belum menjadi lead.</w:t>
            </w:r>
          </w:p>
        </w:tc>
      </w:tr>
      <w:tr>
        <w:tc>
          <w:tcPr>
            <w:tcW w:w="22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C8</w:t>
            </w:r>
          </w:p>
        </w:tc>
        <w:tc>
          <w:tcPr>
            <w:tcW w:w="43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Klik “Coba Gratis Sekarang” ke pendaftaran LMS.</w:t>
            </w:r>
          </w:p>
        </w:tc>
        <w:tc>
          <w:tcPr>
            <w:tcW w:w="36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cta_click</w:t>
            </w:r>
            <w:r>
              <w:br/>
            </w:r>
            <w:r>
              <w:rPr>
                <w:rFonts w:ascii="Aptos" w:hAnsi="Aptos"/>
                <w:sz w:val="17"/>
                <w:color w:val="171717"/>
              </w:rPr>
              <w:t xml:space="preserve">location=free_trial</w:t>
            </w:r>
          </w:p>
        </w:tc>
        <w:tc>
          <w:tcPr>
            <w:tcW w:w="43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Minat mencoba materi gratis.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C10, C11</w:t>
            </w:r>
          </w:p>
        </w:tc>
        <w:tc>
          <w:tcPr>
            <w:tcW w:w="43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Klik “Coba gratis 1 modul di LMS”.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cta_click</w:t>
            </w:r>
            <w:r>
              <w:br/>
            </w:r>
            <w:r>
              <w:rPr>
                <w:rFonts w:ascii="Aptos" w:hAnsi="Aptos"/>
                <w:sz w:val="17"/>
                <w:color w:val="171717"/>
              </w:rPr>
              <w:t xml:space="preserve">location=pricing_self_trial_lms</w:t>
            </w:r>
          </w:p>
        </w:tc>
        <w:tc>
          <w:tcPr>
            <w:tcW w:w="43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Minat mencoba LMS. Klik ini tidak memastikan pendaftaran selesai.</w:t>
            </w:r>
          </w:p>
        </w:tc>
      </w:tr>
      <w:tr>
        <w:tc>
          <w:tcPr>
            <w:tcW w:w="22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C8</w:t>
            </w:r>
          </w:p>
        </w:tc>
        <w:tc>
          <w:tcPr>
            <w:tcW w:w="43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Memilih jawaban survei kesulitan TOEFL.</w:t>
            </w:r>
          </w:p>
        </w:tc>
        <w:tc>
          <w:tcPr>
            <w:tcW w:w="36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cta_click</w:t>
            </w:r>
            <w:r>
              <w:br/>
            </w:r>
            <w:r>
              <w:rPr>
                <w:rFonts w:ascii="Aptos" w:hAnsi="Aptos"/>
                <w:sz w:val="17"/>
                <w:color w:val="171717"/>
              </w:rPr>
              <w:t xml:space="preserve">conversion.type=intentaction=survey_answered</w:t>
            </w:r>
          </w:p>
        </w:tc>
        <w:tc>
          <w:tcPr>
            <w:tcW w:w="43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Menunjukkan masalah yang dirasakan pengunjung.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C10, C11</w:t>
            </w:r>
          </w:p>
        </w:tc>
        <w:tc>
          <w:tcPr>
            <w:tcW w:w="43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Memilih jawaban survei kesulitan TOEFL.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engagement.type=survey_response</w:t>
            </w:r>
            <w:r>
              <w:br/>
            </w:r>
            <w:r>
              <w:rPr>
                <w:rFonts w:ascii="Aptos" w:hAnsi="Aptos"/>
                <w:sz w:val="17"/>
                <w:color w:val="171717"/>
              </w:rPr>
              <w:t xml:space="preserve">location=difficulty_surveycta_click</w:t>
            </w:r>
          </w:p>
        </w:tc>
        <w:tc>
          <w:tcPr>
            <w:tcW w:w="43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Menunjukkan masalah pengunjung; jawaban juga tercatat sebagai klik CTA.</w:t>
            </w:r>
          </w:p>
        </w:tc>
      </w:tr>
      <w:tr>
        <w:tc>
          <w:tcPr>
            <w:tcW w:w="22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C8</w:t>
            </w:r>
          </w:p>
        </w:tc>
        <w:tc>
          <w:tcPr>
            <w:tcW w:w="43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Memilih alasan pada popup setelah kembali dari checkout.</w:t>
            </w:r>
          </w:p>
        </w:tc>
        <w:tc>
          <w:tcPr>
            <w:tcW w:w="36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cta_click</w:t>
            </w:r>
            <w:r>
              <w:br/>
            </w:r>
            <w:r>
              <w:rPr>
                <w:rFonts w:ascii="Aptos" w:hAnsi="Aptos"/>
                <w:sz w:val="17"/>
                <w:color w:val="171717"/>
              </w:rPr>
              <w:t xml:space="preserve">conversion.type=intentaction=return_modal_answered</w:t>
            </w:r>
          </w:p>
        </w:tc>
        <w:tc>
          <w:tcPr>
            <w:tcW w:w="43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Menunjukkan hambatan sebelum membeli.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C10, C11</w:t>
            </w:r>
          </w:p>
        </w:tc>
        <w:tc>
          <w:tcPr>
            <w:tcW w:w="43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Memilih alasan pada popup setelah kembali dari checkout.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engagement.type=survey_response</w:t>
            </w:r>
            <w:r>
              <w:br/>
            </w:r>
            <w:r>
              <w:rPr>
                <w:rFonts w:ascii="Aptos" w:hAnsi="Aptos"/>
                <w:sz w:val="17"/>
                <w:color w:val="171717"/>
              </w:rPr>
              <w:t xml:space="preserve">location=return_popup_surveycta_click</w:t>
            </w:r>
          </w:p>
        </w:tc>
        <w:tc>
          <w:tcPr>
            <w:tcW w:w="43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Menunjukkan hambatan sebelum membeli.</w:t>
            </w:r>
          </w:p>
        </w:tc>
      </w:tr>
      <w:tr>
        <w:tc>
          <w:tcPr>
            <w:tcW w:w="22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C10, C11</w:t>
            </w:r>
          </w:p>
        </w:tc>
        <w:tc>
          <w:tcPr>
            <w:tcW w:w="43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Memutar video testimoni alumni atau demo LMS.</w:t>
            </w:r>
          </w:p>
        </w:tc>
        <w:tc>
          <w:tcPr>
            <w:tcW w:w="36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engagement.type=video_play</w:t>
            </w:r>
            <w:r>
              <w:br/>
            </w:r>
            <w:r>
              <w:rPr>
                <w:rFonts w:ascii="Aptos" w:hAnsi="Aptos"/>
                <w:sz w:val="17"/>
                <w:color w:val="171717"/>
              </w:rPr>
              <w:t xml:space="preserve">location=alumni_testimonial_video atau lms_showcase_video</w:t>
            </w:r>
          </w:p>
        </w:tc>
        <w:tc>
          <w:tcPr>
            <w:tcW w:w="43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Minat pada bukti hasil atau isi kelas.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C8, C10, C11</w:t>
            </w:r>
          </w:p>
        </w:tc>
        <w:tc>
          <w:tcPr>
            <w:tcW w:w="43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Klik tombol bayar paket Self, Starter, Intermediate, atau Bundling.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cta_click</w:t>
            </w:r>
            <w:r>
              <w:br/>
            </w:r>
            <w:r>
              <w:rPr>
                <w:rFonts w:ascii="Aptos" w:hAnsi="Aptos"/>
                <w:sz w:val="17"/>
                <w:color w:val="171717"/>
              </w:rPr>
              <w:t xml:space="preserve">initiate_checkout</w:t>
            </w:r>
          </w:p>
        </w:tc>
        <w:tc>
          <w:tcPr>
            <w:tcW w:w="43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Pengunjung diarahkan ke checkout eksternal; belum berarti pembayaran berhasil.</w:t>
            </w:r>
          </w:p>
        </w:tc>
      </w:tr>
      <w:tr>
        <w:tc>
          <w:tcPr>
            <w:tcW w:w="22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C8, C10, C11</w:t>
            </w:r>
          </w:p>
        </w:tc>
        <w:tc>
          <w:tcPr>
            <w:tcW w:w="43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Klik WhatsApp dari kartu harga.</w:t>
            </w:r>
          </w:p>
        </w:tc>
        <w:tc>
          <w:tcPr>
            <w:tcW w:w="36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cta_click</w:t>
            </w:r>
            <w:r>
              <w:br/>
            </w:r>
            <w:r>
              <w:rPr>
                <w:rFonts w:ascii="Aptos" w:hAnsi="Aptos"/>
                <w:sz w:val="17"/>
                <w:color w:val="171717"/>
              </w:rPr>
              <w:t xml:space="preserve">conversion.type=wa_registration</w:t>
            </w:r>
          </w:p>
        </w:tc>
        <w:tc>
          <w:tcPr>
            <w:tcW w:w="43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Lead berdasarkan klik menuju WhatsApp; belum membuktikan pesan dikirim.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C8, C10, C11</w:t>
            </w:r>
          </w:p>
        </w:tc>
        <w:tc>
          <w:tcPr>
            <w:tcW w:w="43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Klik WhatsApp dari popup setelah kembali dari checkout.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cta_click</w:t>
            </w:r>
            <w:r>
              <w:br/>
            </w:r>
            <w:r>
              <w:rPr>
                <w:rFonts w:ascii="Aptos" w:hAnsi="Aptos"/>
                <w:sz w:val="17"/>
                <w:color w:val="171717"/>
              </w:rPr>
              <w:t xml:space="preserve">conversion.type=wa_registration pada C8; wa_inquiry pada C10 dan C11</w:t>
            </w:r>
          </w:p>
        </w:tc>
        <w:tc>
          <w:tcPr>
            <w:tcW w:w="43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Minat konsultasi setelah melihat checkout.</w:t>
            </w:r>
          </w:p>
        </w:tc>
      </w:tr>
      <w:tr>
        <w:tc>
          <w:tcPr>
            <w:tcW w:w="22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C8, C11</w:t>
            </w:r>
          </w:p>
        </w:tc>
        <w:tc>
          <w:tcPr>
            <w:tcW w:w="43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Klik WhatsApp dari FAQ.</w:t>
            </w:r>
          </w:p>
        </w:tc>
        <w:tc>
          <w:tcPr>
            <w:tcW w:w="36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cta_click</w:t>
            </w:r>
            <w:r>
              <w:br/>
            </w:r>
            <w:r>
              <w:rPr>
                <w:rFonts w:ascii="Aptos" w:hAnsi="Aptos"/>
                <w:sz w:val="17"/>
                <w:color w:val="171717"/>
              </w:rPr>
              <w:t xml:space="preserve">conversion.type=wa_inquiry</w:t>
            </w:r>
          </w:p>
        </w:tc>
        <w:tc>
          <w:tcPr>
            <w:tcW w:w="43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Minat bertanya sebelum mendaftar.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C10, C11</w:t>
            </w:r>
          </w:p>
        </w:tc>
        <w:tc>
          <w:tcPr>
            <w:tcW w:w="43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Klik tombol WhatsApp melayang atau bubble.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cta_click</w:t>
            </w:r>
            <w:r>
              <w:br/>
            </w:r>
            <w:r>
              <w:rPr>
                <w:rFonts w:ascii="Aptos" w:hAnsi="Aptos"/>
                <w:sz w:val="17"/>
                <w:color w:val="171717"/>
              </w:rPr>
              <w:t xml:space="preserve">conversion.type=wa_inquiry</w:t>
            </w:r>
          </w:p>
        </w:tc>
        <w:tc>
          <w:tcPr>
            <w:tcW w:w="43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Lead berdasarkan klik menuju WhatsApp.</w:t>
            </w:r>
          </w:p>
        </w:tc>
      </w:tr>
      <w:tr>
        <w:tc>
          <w:tcPr>
            <w:tcW w:w="22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C11</w:t>
            </w:r>
          </w:p>
        </w:tc>
        <w:tc>
          <w:tcPr>
            <w:tcW w:w="43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Klik nomor WhatsApp pada footer.</w:t>
            </w:r>
          </w:p>
        </w:tc>
        <w:tc>
          <w:tcPr>
            <w:tcW w:w="36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cta_click</w:t>
            </w:r>
            <w:r>
              <w:br/>
            </w:r>
            <w:r>
              <w:rPr>
                <w:rFonts w:ascii="Aptos" w:hAnsi="Aptos"/>
                <w:sz w:val="17"/>
                <w:color w:val="171717"/>
              </w:rPr>
              <w:t xml:space="preserve">conversion.type=wa_inquiry</w:t>
            </w:r>
          </w:p>
        </w:tc>
        <w:tc>
          <w:tcPr>
            <w:tcW w:w="43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Minat menghubungi salah satu admin.</w:t>
            </w:r>
          </w:p>
        </w:tc>
      </w:tr>
    </w:tbl>
    <w:p>
      <w:pPr>
        <w:spacing w:after="65"/>
      </w:pPr>
    </w:p>
    <w:p>
      <w:pPr>
        <w:keepNext/>
        <w:spacing w:before="260" w:after="110" w:line="285" w:lineRule="auto"/>
      </w:pPr>
      <w:r>
        <w:rPr>
          <w:rFonts w:ascii="Aptos" w:hAnsi="Aptos"/>
          <w:sz w:val="25"/>
          <w:color w:val="000000"/>
          <w:b/>
        </w:rPr>
        <w:t xml:space="preserve">Sinyal keterlibatan yang juga dicatat</w:t>
      </w:r>
    </w:p>
    <w:tbl>
      <w:tblPr>
        <w:tblW w:w="144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200"/>
        <w:gridCol w:w="4300"/>
        <w:gridCol w:w="3600"/>
        <w:gridCol w:w="4300"/>
      </w:tblGrid>
      <w:tr>
        <w:trPr>
          <w:tblHeader w:val="true"/>
        </w:trPr>
        <w:tc>
          <w:tcPr>
            <w:tcW w:w="2200" w:type="dxa"/>
            <w:shd w:fill="243B59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8"/>
                <w:color w:val="FFFFFF"/>
                <w:b/>
              </w:rPr>
              <w:t xml:space="preserve">Sinyal</w:t>
            </w:r>
          </w:p>
        </w:tc>
        <w:tc>
          <w:tcPr>
            <w:tcW w:w="4300" w:type="dxa"/>
            <w:shd w:fill="243B59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8"/>
                <w:color w:val="FFFFFF"/>
                <w:b/>
              </w:rPr>
              <w:t xml:space="preserve">Pemicu</w:t>
            </w:r>
          </w:p>
        </w:tc>
        <w:tc>
          <w:tcPr>
            <w:tcW w:w="3600" w:type="dxa"/>
            <w:shd w:fill="243B59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8"/>
                <w:color w:val="FFFFFF"/>
                <w:b/>
              </w:rPr>
              <w:t xml:space="preserve">Event analytics</w:t>
            </w:r>
          </w:p>
        </w:tc>
        <w:tc>
          <w:tcPr>
            <w:tcW w:w="4300" w:type="dxa"/>
            <w:shd w:fill="243B59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8"/>
                <w:color w:val="FFFFFF"/>
                <w:b/>
              </w:rPr>
              <w:t xml:space="preserve">Cara membaca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Kunjungan</w:t>
            </w:r>
          </w:p>
        </w:tc>
        <w:tc>
          <w:tcPr>
            <w:tcW w:w="43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Halaman dibuka, sekali per sesi browser dan path.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visit</w:t>
            </w:r>
          </w:p>
        </w:tc>
        <w:tc>
          <w:tcPr>
            <w:tcW w:w="43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Dasar funnel, bukan microconversion.</w:t>
            </w:r>
          </w:p>
        </w:tc>
      </w:tr>
      <w:tr>
        <w:tc>
          <w:tcPr>
            <w:tcW w:w="22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Scroll</w:t>
            </w:r>
          </w:p>
        </w:tc>
        <w:tc>
          <w:tcPr>
            <w:tcW w:w="43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Mencapai 25%, 50%, 75%, atau 90% halaman.</w:t>
            </w:r>
          </w:p>
        </w:tc>
        <w:tc>
          <w:tcPr>
            <w:tcW w:w="36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scroll</w:t>
            </w:r>
          </w:p>
        </w:tc>
        <w:tc>
          <w:tcPr>
            <w:tcW w:w="43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Menunjukkan kedalaman jelajah.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Waktu aktif</w:t>
            </w:r>
          </w:p>
        </w:tc>
        <w:tc>
          <w:tcPr>
            <w:tcW w:w="43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15 detik awal, lalu ping setiap 30 detik saat tab terlihat.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engagement.type=dwell_ping</w:t>
            </w:r>
          </w:p>
        </w:tc>
        <w:tc>
          <w:tcPr>
            <w:tcW w:w="43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Menunjukkan waktu aktif membaca.</w:t>
            </w:r>
          </w:p>
        </w:tc>
      </w:tr>
      <w:tr>
        <w:tc>
          <w:tcPr>
            <w:tcW w:w="22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Section terlihat</w:t>
            </w:r>
          </w:p>
        </w:tc>
        <w:tc>
          <w:tcPr>
            <w:tcW w:w="43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Sedikitnya 20% section ber-ID terlihat selama 500 ms.</w:t>
            </w:r>
          </w:p>
        </w:tc>
        <w:tc>
          <w:tcPr>
            <w:tcW w:w="36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section_view</w:t>
            </w:r>
          </w:p>
        </w:tc>
        <w:tc>
          <w:tcPr>
            <w:tcW w:w="43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Menunjukkan bagian konten yang sempat dilihat.</w:t>
            </w:r>
          </w:p>
        </w:tc>
      </w:tr>
    </w:tbl>
    <w:p>
      <w:pPr>
        <w:spacing w:after="65"/>
      </w:pPr>
    </w:p>
    <w:p>
      <w:pPr>
        <w:keepNext/>
        <w:spacing w:before="260" w:after="110" w:line="285" w:lineRule="auto"/>
      </w:pPr>
      <w:r>
        <w:rPr>
          <w:rFonts w:ascii="Aptos" w:hAnsi="Aptos"/>
          <w:sz w:val="25"/>
          <w:color w:val="000000"/>
          <w:b/>
        </w:rPr>
        <w:t xml:space="preserve">Catatan pembacaan dashboard</w:t>
      </w:r>
    </w:p>
    <w:tbl>
      <w:tblPr>
        <w:tblW w:w="144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200"/>
        <w:gridCol w:w="4300"/>
        <w:gridCol w:w="3600"/>
        <w:gridCol w:w="4300"/>
      </w:tblGrid>
      <w:tr>
        <w:trPr>
          <w:tblHeader w:val="true"/>
        </w:trPr>
        <w:tc>
          <w:tcPr>
            <w:tcW w:w="2200" w:type="dxa"/>
            <w:shd w:fill="243B59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8"/>
                <w:color w:val="FFFFFF"/>
                <w:b/>
              </w:rPr>
              <w:t xml:space="preserve">Topik</w:t>
            </w:r>
          </w:p>
        </w:tc>
        <w:tc>
          <w:tcPr>
            <w:tcW w:w="4300" w:type="dxa"/>
            <w:shd w:fill="243B59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8"/>
                <w:color w:val="FFFFFF"/>
                <w:b/>
              </w:rPr>
              <w:t xml:space="preserve">Temuan</w:t>
            </w:r>
          </w:p>
        </w:tc>
        <w:tc>
          <w:tcPr>
            <w:tcW w:w="3600" w:type="dxa"/>
            <w:shd w:fill="243B59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8"/>
                <w:color w:val="FFFFFF"/>
                <w:b/>
              </w:rPr>
              <w:t xml:space="preserve">Dampak</w:t>
            </w:r>
          </w:p>
        </w:tc>
        <w:tc>
          <w:tcPr>
            <w:tcW w:w="4300" w:type="dxa"/>
            <w:shd w:fill="243B59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8"/>
                <w:color w:val="FFFFFF"/>
                <w:b/>
              </w:rPr>
              <w:t xml:space="preserve">Rujukan kode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Intent</w:t>
            </w:r>
          </w:p>
        </w:tc>
        <w:tc>
          <w:tcPr>
            <w:tcW w:w="43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Dashboard menghitung sesi dengan event cta_click sebagai Intent.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Satu sesi yang menekan beberapa tombol tetap dihitung sebagai satu sesi intent pada metrik utama.</w:t>
            </w:r>
          </w:p>
        </w:tc>
        <w:tc>
          <w:tcPr>
            <w:tcW w:w="43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app/Services/AnalyticsMetricsService.php</w:t>
            </w:r>
          </w:p>
        </w:tc>
      </w:tr>
      <w:tr>
        <w:tc>
          <w:tcPr>
            <w:tcW w:w="22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WhatsApp Leads</w:t>
            </w:r>
          </w:p>
        </w:tc>
        <w:tc>
          <w:tcPr>
            <w:tcW w:w="43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Dashboard menerima conversion.type=wa_inquiry dan wa_registration.</w:t>
            </w:r>
          </w:p>
        </w:tc>
        <w:tc>
          <w:tcPr>
            <w:tcW w:w="36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Angka lead adalah klik menuju WhatsApp, bukan percakapan yang sudah terkirim.</w:t>
            </w:r>
          </w:p>
        </w:tc>
        <w:tc>
          <w:tcPr>
            <w:tcW w:w="43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app/Services/AnalyticsMetricsService.php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WhatsApp melayang C8</w:t>
            </w:r>
          </w:p>
        </w:tc>
        <w:tc>
          <w:tcPr>
            <w:tcW w:w="43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Tombol ini hanya mengirim Meta Pixel Search, tanpa event conversion internal.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Kliknya tidak masuk WhatsApp Leads internal.</w:t>
            </w:r>
          </w:p>
        </w:tc>
        <w:tc>
          <w:tcPr>
            <w:tcW w:w="43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resources/js/pages/cycle8/angle-1.tsx</w:t>
            </w:r>
          </w:p>
        </w:tc>
      </w:tr>
      <w:tr>
        <w:tc>
          <w:tcPr>
            <w:tcW w:w="22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Metrik khusus C10</w:t>
            </w:r>
          </w:p>
        </w:tc>
        <w:tc>
          <w:tcPr>
            <w:tcW w:w="43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Metrik trial LMS, survei, dan video difilter ke /c10-lp.</w:t>
            </w:r>
          </w:p>
        </w:tc>
        <w:tc>
          <w:tcPr>
            <w:tcW w:w="36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Aktivitas melalui tiga alias C10 tidak masuk metrik khusus tersebut.</w:t>
            </w:r>
          </w:p>
        </w:tc>
        <w:tc>
          <w:tcPr>
            <w:tcW w:w="43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app/Services/AnalyticsMetricsService.php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Pembayaran C11</w:t>
            </w:r>
          </w:p>
        </w:tc>
        <w:tc>
          <w:tcPr>
            <w:tcW w:w="43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Webhook Scalev mencatat payment untuk pembayaran yang terverifikasi dan teratribusi ke C11.</w:t>
            </w:r>
          </w:p>
        </w:tc>
        <w:tc>
          <w:tcPr>
            <w:tcW w:w="36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Ini konversi akhir, terpisah dari klik checkout.</w:t>
            </w:r>
          </w:p>
        </w:tc>
        <w:tc>
          <w:tcPr>
            <w:tcW w:w="4300" w:type="dxa"/>
            <w:shd w:fill="FFFFFF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app/Http/Controllers/ScalevWebhookController.php</w:t>
            </w:r>
          </w:p>
        </w:tc>
      </w:tr>
      <w:tr>
        <w:tc>
          <w:tcPr>
            <w:tcW w:w="22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C9</w:t>
            </w:r>
          </w:p>
        </w:tc>
        <w:tc>
          <w:tcPr>
            <w:tcW w:w="43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Tidak ditemukan route C9 pada daftar halaman yang aktif.</w:t>
            </w:r>
          </w:p>
        </w:tc>
        <w:tc>
          <w:tcPr>
            <w:tcW w:w="36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Urutan yang tersedia setelah C8 langsung berlanjut ke C10.</w:t>
            </w:r>
          </w:p>
        </w:tc>
        <w:tc>
          <w:tcPr>
            <w:tcW w:w="4300" w:type="dxa"/>
            <w:shd w:fill="F3F6FA"/>
            <w:vAlign w:val="center"/>
          </w:tcPr>
          <w:p>
            <w:pPr>
              <w:spacing w:after="0" w:line="260" w:lineRule="auto"/>
            </w:pPr>
            <w:r>
              <w:rPr>
                <w:rFonts w:ascii="Aptos" w:hAnsi="Aptos"/>
                <w:sz w:val="17"/>
                <w:color w:val="171717"/>
              </w:rPr>
              <w:t xml:space="preserve">routes/web.php</w:t>
            </w:r>
          </w:p>
        </w:tc>
      </w:tr>
    </w:tbl>
    <w:p>
      <w:pPr>
        <w:spacing w:after="65"/>
      </w:pPr>
    </w:p>
    <w:p>
      <w:pPr>
        <w:spacing w:before="0" w:after="120" w:line="285" w:lineRule="auto"/>
      </w:pPr>
      <w:r>
        <w:rPr>
          <w:rFonts w:ascii="Aptos" w:hAnsi="Aptos"/>
          <w:sz w:val="17"/>
          <w:color w:val="555555"/>
        </w:rPr>
        <w:t xml:space="preserve">Disusun dari implementasi aplikasi per 17 September 2026. Dokumen ini tidak memuat hitungan event atau data produksi.</w:t>
      </w:r>
    </w:p>
    <w:sectPr>
      <w:pgSz w:w="16838" w:h="11906" w:orient="landscape"/>
      <w:pgMar w:top="850" w:right="850" w:bottom="850" w:left="850" w:header="350" w:footer="3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