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1F4E79" w:val="clear"/>
            <w:tcMar>
              <w:top w:type="dxa" w:w="500"/>
              <w:left w:type="dxa" w:w="400"/>
              <w:bottom w:type="dxa" w:w="500"/>
              <w:right w:type="dxa" w:w="400"/>
            </w:tcMar>
          </w:tcPr>
          <w:p>
            <w:r>
              <w:rPr>
                <w:b/>
                <w:bCs/>
                <w:color w:val="AFCBE8"/>
                <w:sz w:val="20"/>
                <w:szCs w:val="20"/>
              </w:rPr>
              <w:t xml:space="preserve">PBM AGENCY — BRIEF PRODUK</w:t>
            </w:r>
          </w:p>
          <w:p>
            <w:pPr>
              <w:spacing w:before="120"/>
            </w:pPr>
            <w:r>
              <w:rPr>
                <w:b/>
                <w:bCs/>
                <w:color w:val="FFFFFF"/>
                <w:sz w:val="38"/>
                <w:szCs w:val="38"/>
              </w:rPr>
              <w:t xml:space="preserve">Webinar "The Silent Conversion Leak"</w:t>
            </w:r>
          </w:p>
          <w:p>
            <w:pPr>
              <w:spacing w:after="60" w:before="120"/>
            </w:pPr>
            <w:r>
              <w:rPr>
                <w:color w:val="D9E6F2"/>
                <w:sz w:val="22"/>
                <w:szCs w:val="22"/>
              </w:rPr>
              <w:t xml:space="preserve">Materi acuan untuk trial copywriting landing page</w:t>
            </w:r>
          </w:p>
        </w:tc>
      </w:tr>
    </w:tbl>
    <w:p>
      <w:pPr>
        <w:spacing w:after="22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Cara pakai dokumen ini</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Ini adalah KUMPULAN FAKTA &amp; MATERI produk — bukan naskah copy yang harus ditiru. Tulis headline, subheadline, body copy, dan CTA dengan kata-katamu sendiri. Boleh eksplorasi angle atau framing baru, selama tetap akurat terhadap fakta yang ada di sini — jangan menambahkan klaim atau angka yang tidak disebutkan di dokumen ini.</w:t>
      </w:r>
    </w:p>
    <w:p>
      <w:pPr>
        <w:spacing w:after="140"/>
      </w:pPr>
    </w:p>
    <w:p>
      <w:pPr>
        <w:keepNext/>
        <w:keepLines/>
        <w:pBdr>
          <w:top w:val="single" w:color="E8F5E9" w:sz="2"/>
          <w:bottom w:val="single" w:color="E8F5E9" w:sz="2"/>
          <w:left w:val="single" w:color="4CAF50" w:sz="24" w:space="8"/>
          <w:right w:val="single" w:color="E8F5E9" w:sz="2"/>
        </w:pBdr>
        <w:shd w:fill="E8F5E9" w:val="clear"/>
        <w:spacing w:after="20" w:before="60"/>
        <w:ind w:left="160"/>
      </w:pPr>
      <w:r>
        <w:rPr>
          <w:b/>
          <w:bCs/>
          <w:color w:val="262626"/>
          <w:sz w:val="20"/>
          <w:szCs w:val="20"/>
        </w:rPr>
        <w:t xml:space="preserve">✓  Bukan tentang struktur teknis</w:t>
      </w:r>
    </w:p>
    <w:p>
      <w:pPr>
        <w:keepNext w:val="false"/>
        <w:keepLines/>
        <w:pBdr>
          <w:top w:val="single" w:color="E8F5E9" w:sz="2"/>
          <w:bottom w:val="single" w:color="E8F5E9" w:sz="2"/>
          <w:left w:val="single" w:color="4CAF50" w:sz="24" w:space="8"/>
          <w:right w:val="single" w:color="E8F5E9" w:sz="2"/>
        </w:pBdr>
        <w:shd w:fill="E8F5E9" w:val="clear"/>
        <w:spacing w:after="60" w:before="0"/>
        <w:ind w:left="160"/>
      </w:pPr>
      <w:r>
        <w:rPr>
          <w:color w:val="3a3a3a"/>
          <w:sz w:val="20"/>
          <w:szCs w:val="20"/>
        </w:rPr>
        <w:t xml:space="preserve">Brief ini cuma soal KONTEN. Urutan section, elemen wajib, dan struktur landing page tetap mengikuti dokumen Framework &amp; Struktur Landing Page yang terpisah.</w:t>
      </w:r>
    </w:p>
    <w:p>
      <w:pPr>
        <w:spacing w:after="140"/>
      </w:pPr>
    </w:p>
    <w:p>
      <w:r>
        <w:br w:type="page"/>
      </w:r>
    </w:p>
    <w:p>
      <w:pPr>
        <w:pStyle w:val="Heading1"/>
        <w:pBdr>
          <w:bottom w:val="single" w:color="2E6DA4" w:sz="6" w:space="4"/>
        </w:pBdr>
        <w:spacing w:after="160" w:before="360"/>
      </w:pPr>
      <w:r>
        <w:rPr>
          <w:b/>
          <w:bCs/>
          <w:color w:val="1F4E79"/>
          <w:sz w:val="30"/>
          <w:szCs w:val="30"/>
        </w:rPr>
        <w:t xml:space="preserve">1. Tentang Produk</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2400"/>
        <w:gridCol w:w="6600"/>
      </w:tblGrid>
      <w:tr>
        <w:trPr>
          <w:tblHeader/>
        </w:trPr>
        <w:tc>
          <w:tcPr>
            <w:tcW w:type="dxa" w:w="24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Atribut</w:t>
            </w:r>
          </w:p>
        </w:tc>
        <w:tc>
          <w:tcPr>
            <w:tcW w:type="dxa" w:w="66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Nama produk</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Webinar "The Silent Conversion Leak"</w:t>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Format</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Live 90 menit via Zoom, ada rekaman untuk ditonton ulang</w:t>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Penyelenggara</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PBM Agency</w:t>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Pembicara</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Justin Wijaya</w:t>
            </w:r>
          </w:p>
        </w:tc>
      </w:tr>
      <w:tr>
        <w:trPr>
          <w:cantSplit/>
        </w:trPr>
        <w:tc>
          <w:tcPr>
            <w:tcW w:type="dxa" w:w="24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Harga</w:t>
            </w:r>
          </w:p>
        </w:tc>
        <w:tc>
          <w:tcPr>
            <w:tcW w:type="dxa" w:w="66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Rp79.000 (early bird) — dari harga normal Rp299.000</w:t>
            </w:r>
          </w:p>
        </w:tc>
      </w:tr>
      <w:tr>
        <w:trPr>
          <w:cantSplit/>
        </w:trPr>
        <w:tc>
          <w:tcPr>
            <w:tcW w:type="dxa" w:w="24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Kategori</w:t>
            </w:r>
          </w:p>
        </w:tc>
        <w:tc>
          <w:tcPr>
            <w:tcW w:type="dxa" w:w="66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Edukasi bisnis / conversion rate optimization untuk landing page</w:t>
            </w:r>
          </w:p>
        </w:tc>
      </w:tr>
    </w:tbl>
    <w:p>
      <w:pPr>
        <w:spacing w:after="140"/>
      </w:pP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Perlu dikonfirmasi Justin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Jadwal webinar tidak konsisten di materi lama — ada yang menyebut 23 Agustus 2026, ada mockup lain yang menyebut 16 Juli 2026 (tanggal ini sudah lewat). Pastikan kandidat pakai tanggal yang valid, atau jadikan tanggal fiktif kalau ini murni untuk latihan trial.</w:t>
      </w:r>
    </w:p>
    <w:p>
      <w:pPr>
        <w:spacing w:after="140"/>
      </w:pPr>
    </w:p>
    <w:p>
      <w:pPr>
        <w:pStyle w:val="Heading1"/>
        <w:pBdr>
          <w:bottom w:val="single" w:color="2E6DA4" w:sz="6" w:space="4"/>
        </w:pBdr>
        <w:spacing w:after="160" w:before="360"/>
      </w:pPr>
      <w:r>
        <w:rPr>
          <w:b/>
          <w:bCs/>
          <w:color w:val="1F4E79"/>
          <w:sz w:val="30"/>
          <w:szCs w:val="30"/>
        </w:rPr>
        <w:t xml:space="preserve">2. Target Audiens</w:t>
      </w:r>
    </w:p>
    <w:p>
      <w:pPr>
        <w:pStyle w:val="ListParagraph"/>
        <w:numPr>
          <w:ilvl w:val="0"/>
          <w:numId w:val="2"/>
        </w:numPr>
        <w:spacing w:after="60"/>
      </w:pPr>
      <w:r>
        <w:rPr>
          <w:sz w:val="21"/>
          <w:szCs w:val="21"/>
        </w:rPr>
        <w:t xml:space="preserve">Pemilik bisnis / marketer yang sudah menjalankan iklan dengan metrik "sehat" di permukaan (CTR bagus, CPC wajar), tapi closing/pembelian tetap seret dan CPA (Cost Per Acquisition) tinggi.</w:t>
      </w:r>
    </w:p>
    <w:p>
      <w:pPr>
        <w:pStyle w:val="ListParagraph"/>
        <w:numPr>
          <w:ilvl w:val="0"/>
          <w:numId w:val="2"/>
        </w:numPr>
        <w:spacing w:after="60"/>
      </w:pPr>
      <w:r>
        <w:rPr>
          <w:sz w:val="21"/>
          <w:szCs w:val="21"/>
        </w:rPr>
        <w:t xml:space="preserve">Sudah mencoba berbagai cara — ganti kreatif iklan, ganti angle, bahkan ganti landing page — tapi belum ada perubahan berarti.</w:t>
      </w:r>
    </w:p>
    <w:p>
      <w:pPr>
        <w:pStyle w:val="ListParagraph"/>
        <w:numPr>
          <w:ilvl w:val="0"/>
          <w:numId w:val="2"/>
        </w:numPr>
        <w:spacing w:after="60"/>
      </w:pPr>
      <w:r>
        <w:rPr>
          <w:sz w:val="21"/>
          <w:szCs w:val="21"/>
        </w:rPr>
        <w:t xml:space="preserve">Bingung harus mulai membenahi dari mana. Dapat saran yang berbeda-beda dari berbagai sumber, tidak tahu mana yang benar-benar relevan dengan kondisi bisnisnya.</w:t>
      </w:r>
    </w:p>
    <w:p>
      <w:pPr>
        <w:pStyle w:val="Heading1"/>
        <w:pBdr>
          <w:bottom w:val="single" w:color="2E6DA4" w:sz="6" w:space="4"/>
        </w:pBdr>
        <w:spacing w:after="160" w:before="360"/>
      </w:pPr>
      <w:r>
        <w:rPr>
          <w:b/>
          <w:bCs/>
          <w:color w:val="1F4E79"/>
          <w:sz w:val="30"/>
          <w:szCs w:val="30"/>
        </w:rPr>
        <w:t xml:space="preserve">3. Masalah yang Diangkat (Pain Points)</w:t>
      </w:r>
    </w:p>
    <w:p>
      <w:pPr>
        <w:pStyle w:val="ListParagraph"/>
        <w:numPr>
          <w:ilvl w:val="0"/>
          <w:numId w:val="2"/>
        </w:numPr>
        <w:spacing w:after="60"/>
      </w:pPr>
      <w:r>
        <w:rPr>
          <w:sz w:val="21"/>
          <w:szCs w:val="21"/>
        </w:rPr>
        <w:t xml:space="preserve">Iklan berjalan bagus secara metrik, tapi biaya per pembelian (CPA) tetap mahal.</w:t>
      </w:r>
    </w:p>
    <w:p>
      <w:pPr>
        <w:pStyle w:val="ListParagraph"/>
        <w:numPr>
          <w:ilvl w:val="0"/>
          <w:numId w:val="2"/>
        </w:numPr>
        <w:spacing w:after="60"/>
      </w:pPr>
      <w:r>
        <w:rPr>
          <w:sz w:val="21"/>
          <w:szCs w:val="21"/>
        </w:rPr>
        <w:t xml:space="preserve">Landing page menahan calon pembeli, bukan mendorong mereka untuk checkout.</w:t>
      </w:r>
    </w:p>
    <w:p>
      <w:pPr>
        <w:pStyle w:val="ListParagraph"/>
        <w:numPr>
          <w:ilvl w:val="0"/>
          <w:numId w:val="2"/>
        </w:numPr>
        <w:spacing w:after="60"/>
      </w:pPr>
      <w:r>
        <w:rPr>
          <w:sz w:val="21"/>
          <w:szCs w:val="21"/>
        </w:rPr>
        <w:t xml:space="preserve">Tidak tahu di titik mana funnel-nya benar-benar bocor.</w:t>
      </w:r>
    </w:p>
    <w:p>
      <w:pPr>
        <w:pStyle w:val="ListParagraph"/>
        <w:numPr>
          <w:ilvl w:val="0"/>
          <w:numId w:val="2"/>
        </w:numPr>
        <w:spacing w:after="60"/>
      </w:pPr>
      <w:r>
        <w:rPr>
          <w:sz w:val="21"/>
          <w:szCs w:val="21"/>
        </w:rPr>
        <w:t xml:space="preserve">Traffic makin banyak, tapi kualitasnya (niat beli yang sesungguhnya) makin menurun.</w:t>
      </w:r>
    </w:p>
    <w:p>
      <w:pPr>
        <w:pStyle w:val="Heading1"/>
        <w:pBdr>
          <w:bottom w:val="single" w:color="2E6DA4" w:sz="6" w:space="4"/>
        </w:pBdr>
        <w:spacing w:after="160" w:before="360"/>
      </w:pPr>
      <w:r>
        <w:rPr>
          <w:b/>
          <w:bCs/>
          <w:color w:val="1F4E79"/>
          <w:sz w:val="30"/>
          <w:szCs w:val="30"/>
        </w:rPr>
        <w:t xml:space="preserve">4. Insight Utama</w:t>
      </w:r>
    </w:p>
    <w:p>
      <w:pPr>
        <w:spacing w:after="140" w:line="276"/>
      </w:pPr>
      <w:r>
        <w:rPr>
          <w:b w:val="false"/>
          <w:bCs w:val="false"/>
          <w:i w:val="false"/>
          <w:iCs w:val="false"/>
          <w:color w:val="262626"/>
          <w:sz w:val="21"/>
          <w:szCs w:val="21"/>
        </w:rPr>
        <w:t xml:space="preserve">Empat penyebab utama kenapa closing jadi mahal — boleh dijelaskan ulang dengan bahasa dan framing sendiri, tapi isinya harus tetap keempat ini:</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500"/>
        <w:gridCol w:w="2800"/>
        <w:gridCol w:w="5700"/>
      </w:tblGrid>
      <w:tr>
        <w:trPr>
          <w:tblHeader/>
        </w:trPr>
        <w:tc>
          <w:tcPr>
            <w:tcW w:type="dxa" w:w="5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28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Penyebab</w:t>
            </w:r>
          </w:p>
        </w:tc>
        <w:tc>
          <w:tcPr>
            <w:tcW w:type="dxa" w:w="57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Penjelasan</w:t>
            </w:r>
          </w:p>
        </w:tc>
      </w:tr>
      <w:tr>
        <w:trPr>
          <w:cantSplit/>
        </w:trPr>
        <w:tc>
          <w:tcPr>
            <w:tcW w:type="dxa" w:w="5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Iklan belum tervalidasi</w:t>
            </w:r>
          </w:p>
        </w:tc>
        <w:tc>
          <w:tcPr>
            <w:tcW w:type="dxa" w:w="5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Belum jelas kreatif atau angle mana yang benar-benar menarik audiens yang tepat.</w:t>
            </w:r>
          </w:p>
        </w:tc>
      </w:tr>
      <w:tr>
        <w:trPr>
          <w:cantSplit/>
        </w:trPr>
        <w:tc>
          <w:tcPr>
            <w:tcW w:type="dxa" w:w="5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Landing page menahan, bukan mendorong</w:t>
            </w:r>
          </w:p>
        </w:tc>
        <w:tc>
          <w:tcPr>
            <w:tcW w:type="dxa" w:w="5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Halaman jadi titik orang ragu untuk lanjut, bukan yakin untuk beli.</w:t>
            </w:r>
          </w:p>
        </w:tc>
      </w:tr>
      <w:tr>
        <w:trPr>
          <w:cantSplit/>
        </w:trPr>
        <w:tc>
          <w:tcPr>
            <w:tcW w:type="dxa" w:w="5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28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Penawaran belum pas</w:t>
            </w:r>
          </w:p>
        </w:tc>
        <w:tc>
          <w:tcPr>
            <w:tcW w:type="dxa" w:w="57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Harga atau bentuk offer belum sesuai ekspektasi audiens yang datang.</w:t>
            </w:r>
          </w:p>
        </w:tc>
      </w:tr>
      <w:tr>
        <w:trPr>
          <w:cantSplit/>
        </w:trPr>
        <w:tc>
          <w:tcPr>
            <w:tcW w:type="dxa" w:w="5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4</w:t>
            </w:r>
          </w:p>
        </w:tc>
        <w:tc>
          <w:tcPr>
            <w:tcW w:type="dxa" w:w="28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Kualitas traffic menurun</w:t>
            </w:r>
          </w:p>
        </w:tc>
        <w:tc>
          <w:tcPr>
            <w:tcW w:type="dxa" w:w="57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Yang klik makin banyak, yang benar-benar merasa butuh makin sedikit.</w:t>
            </w:r>
          </w:p>
        </w:tc>
      </w:tr>
    </w:tbl>
    <w:p>
      <w:pPr>
        <w:spacing w:after="140"/>
      </w:pPr>
    </w:p>
    <w:p>
      <w:pPr>
        <w:spacing w:after="140" w:line="276"/>
      </w:pPr>
      <w:r>
        <w:rPr>
          <w:b/>
          <w:bCs/>
          <w:i w:val="false"/>
          <w:iCs w:val="false"/>
          <w:color w:val="262626"/>
          <w:sz w:val="21"/>
          <w:szCs w:val="21"/>
        </w:rPr>
        <w:t xml:space="preserve">Ide besarnya: keempat penyebab ini sebenarnya bisa dibaca dari data di landing page sendiri. Begitu tahu penyebab mana yang sedang terjadi, perbaikannya jadi presisi — bukan tebak-tebakan. Ini adalah janji inti webinar: bukan cuma kasih tahu masalahnya, tapi kasih cara mendiagnosanya sendiri.</w:t>
      </w:r>
    </w:p>
    <w:p>
      <w:r>
        <w:br w:type="page"/>
      </w:r>
    </w:p>
    <w:p>
      <w:pPr>
        <w:pStyle w:val="Heading1"/>
        <w:pBdr>
          <w:bottom w:val="single" w:color="2E6DA4" w:sz="6" w:space="4"/>
        </w:pBdr>
        <w:spacing w:after="160" w:before="360"/>
      </w:pPr>
      <w:r>
        <w:rPr>
          <w:b/>
          <w:bCs/>
          <w:color w:val="1F4E79"/>
          <w:sz w:val="30"/>
          <w:szCs w:val="30"/>
        </w:rPr>
        <w:t xml:space="preserve">5. Apa yang Didapat Peserta</w:t>
      </w:r>
    </w:p>
    <w:p>
      <w:pPr>
        <w:pStyle w:val="ListParagraph"/>
        <w:numPr>
          <w:ilvl w:val="0"/>
          <w:numId w:val="2"/>
        </w:numPr>
        <w:spacing w:after="60"/>
      </w:pPr>
      <w:r>
        <w:rPr>
          <w:sz w:val="21"/>
          <w:szCs w:val="21"/>
        </w:rPr>
        <w:t xml:space="preserve">Live session 90 menit + rekaman webinar (bisa ditonton ulang kapan saja).</w:t>
      </w:r>
    </w:p>
    <w:p>
      <w:pPr>
        <w:pStyle w:val="ListParagraph"/>
        <w:numPr>
          <w:ilvl w:val="0"/>
          <w:numId w:val="2"/>
        </w:numPr>
        <w:spacing w:after="60"/>
      </w:pPr>
      <w:r>
        <w:rPr>
          <w:sz w:val="21"/>
          <w:szCs w:val="21"/>
        </w:rPr>
        <w:t xml:space="preserve">Ebook pelengkap: "Iklan Sudah Jalan, Tapi Kok Tetap Boncos?" — materi praktik memperbaiki konversi.</w:t>
      </w:r>
    </w:p>
    <w:p>
      <w:pPr>
        <w:pStyle w:val="ListParagraph"/>
        <w:numPr>
          <w:ilvl w:val="0"/>
          <w:numId w:val="2"/>
        </w:numPr>
        <w:spacing w:after="60"/>
      </w:pPr>
      <w:r>
        <w:rPr>
          <w:sz w:val="21"/>
          <w:szCs w:val="21"/>
        </w:rPr>
        <w:t xml:space="preserve">Akses tanya jawab langsung dengan mentor — peserta bisa membawa kondisi funnel mereka sendiri untuk ditanyakan.</w:t>
      </w:r>
    </w:p>
    <w:p>
      <w:pPr>
        <w:pStyle w:val="ListParagraph"/>
        <w:numPr>
          <w:ilvl w:val="0"/>
          <w:numId w:val="2"/>
        </w:numPr>
        <w:spacing w:after="60"/>
      </w:pPr>
      <w:r>
        <w:rPr>
          <w:sz w:val="21"/>
          <w:szCs w:val="21"/>
        </w:rPr>
        <w:t xml:space="preserve">Bonus: kesempatan booking sesi Landing Page Audit personal gratis setelah webinar — rekomendasi spesifik untuk bisnis peserta, bukan saran umum.</w:t>
      </w:r>
    </w:p>
    <w:p>
      <w:pPr>
        <w:pStyle w:val="Heading1"/>
        <w:pBdr>
          <w:bottom w:val="single" w:color="2E6DA4" w:sz="6" w:space="4"/>
        </w:pBdr>
        <w:spacing w:after="160" w:before="360"/>
      </w:pPr>
      <w:r>
        <w:rPr>
          <w:b/>
          <w:bCs/>
          <w:color w:val="1F4E79"/>
          <w:sz w:val="30"/>
          <w:szCs w:val="30"/>
        </w:rPr>
        <w:t xml:space="preserve">6. Isi Webinar (3 Modul)</w:t>
      </w:r>
    </w:p>
    <w:tbl>
      <w:tblPr>
        <w:tblW w:type="dxa" w:w="9000"/>
        <w:tblBorders>
          <w:top w:val="single" w:color="BFBFBF" w:sz="4"/>
          <w:left w:val="single" w:color="BFBFBF" w:sz="4"/>
          <w:bottom w:val="single" w:color="BFBFBF" w:sz="4"/>
          <w:right w:val="single" w:color="BFBFBF" w:sz="4"/>
          <w:insideH w:val="single" w:color="D9D9D9" w:sz="2"/>
          <w:insideV w:val="single" w:color="D9D9D9" w:sz="2"/>
        </w:tblBorders>
      </w:tblPr>
      <w:tblGrid>
        <w:gridCol w:w="900"/>
        <w:gridCol w:w="3000"/>
        <w:gridCol w:w="5100"/>
      </w:tblGrid>
      <w:tr>
        <w:trPr>
          <w:tblHeader/>
        </w:trPr>
        <w:tc>
          <w:tcPr>
            <w:tcW w:type="dxa" w:w="9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Modul</w:t>
            </w:r>
          </w:p>
        </w:tc>
        <w:tc>
          <w:tcPr>
            <w:tcW w:type="dxa" w:w="30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Judul</w:t>
            </w:r>
          </w:p>
        </w:tc>
        <w:tc>
          <w:tcPr>
            <w:tcW w:type="dxa" w:w="5100"/>
            <w:shd w:fill="2E6DA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Isi</w:t>
            </w:r>
          </w:p>
        </w:tc>
      </w:tr>
      <w:tr>
        <w:trPr>
          <w:cantSplit/>
        </w:trPr>
        <w:tc>
          <w:tcPr>
            <w:tcW w:type="dxa" w:w="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1</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Cara Membaca Letak Masalah</w:t>
            </w:r>
          </w:p>
        </w:tc>
        <w:tc>
          <w:tcPr>
            <w:tcW w:type="dxa" w:w="5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Menemukan di mana letak masalah yang membuat traffic terbuang sia-sia selama ini.</w:t>
            </w:r>
          </w:p>
        </w:tc>
      </w:tr>
      <w:tr>
        <w:trPr>
          <w:cantSplit/>
        </w:trPr>
        <w:tc>
          <w:tcPr>
            <w:tcW w:type="dxa" w:w="900"/>
            <w:shd w:fill="F2F2F2"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2</w:t>
            </w:r>
          </w:p>
        </w:tc>
        <w:tc>
          <w:tcPr>
            <w:tcW w:type="dxa" w:w="30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Cara Efektif Perbaiki Kebocoran</w:t>
            </w:r>
          </w:p>
        </w:tc>
        <w:tc>
          <w:tcPr>
            <w:tcW w:type="dxa" w:w="5100"/>
            <w:shd w:fill="F2F2F2"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Framework untuk memperbaiki kebocoran funnel.</w:t>
            </w:r>
          </w:p>
        </w:tc>
      </w:tr>
      <w:tr>
        <w:trPr>
          <w:cantSplit/>
        </w:trPr>
        <w:tc>
          <w:tcPr>
            <w:tcW w:type="dxa" w:w="900"/>
            <w:shd w:fill="FFFFFF" w:val="clear"/>
            <w:tcMar>
              <w:top w:type="dxa" w:w="80"/>
              <w:left w:type="dxa" w:w="100"/>
              <w:bottom w:type="dxa" w:w="80"/>
              <w:right w:type="dxa" w:w="100"/>
            </w:tcMar>
            <w:vAlign w:val="center"/>
          </w:tcPr>
          <w:p>
            <w:r>
              <w:rPr>
                <w:rFonts w:ascii="Consolas" w:cs="Consolas" w:eastAsia="Consolas" w:hAnsi="Consolas"/>
                <w:b w:val="false"/>
                <w:bCs w:val="false"/>
                <w:color w:val="262626"/>
                <w:sz w:val="19"/>
                <w:szCs w:val="19"/>
              </w:rPr>
              <w:t xml:space="preserve">3</w:t>
            </w:r>
          </w:p>
        </w:tc>
        <w:tc>
          <w:tcPr>
            <w:tcW w:type="dxa" w:w="30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Studi Kasus &amp; Tools Diagnosis</w:t>
            </w:r>
          </w:p>
        </w:tc>
        <w:tc>
          <w:tcPr>
            <w:tcW w:type="dxa" w:w="5100"/>
            <w:shd w:fill="FFFFFF" w:val="clear"/>
            <w:tcMar>
              <w:top w:type="dxa" w:w="80"/>
              <w:left w:type="dxa" w:w="100"/>
              <w:bottom w:type="dxa" w:w="80"/>
              <w:right w:type="dxa" w:w="100"/>
            </w:tcMar>
            <w:vAlign w:val="center"/>
          </w:tcPr>
          <w:p>
            <w:r>
              <w:rPr>
                <w:rFonts w:ascii="Calibri" w:cs="Calibri" w:eastAsia="Calibri" w:hAnsi="Calibri"/>
                <w:b w:val="false"/>
                <w:bCs w:val="false"/>
                <w:color w:val="262626"/>
                <w:sz w:val="19"/>
                <w:szCs w:val="19"/>
              </w:rPr>
              <w:t xml:space="preserve">Bedah studi kasus cara diagnosa &amp; perbaiki kebocoran landing page, serta tools diagnosa kebocoran konversi.</w:t>
            </w:r>
          </w:p>
        </w:tc>
      </w:tr>
    </w:tbl>
    <w:p>
      <w:pPr>
        <w:pStyle w:val="Heading1"/>
        <w:pBdr>
          <w:bottom w:val="single" w:color="2E6DA4" w:sz="6" w:space="4"/>
        </w:pBdr>
        <w:spacing w:after="160" w:before="360"/>
      </w:pPr>
      <w:r>
        <w:rPr>
          <w:b/>
          <w:bCs/>
          <w:color w:val="1F4E79"/>
          <w:sz w:val="30"/>
          <w:szCs w:val="30"/>
        </w:rPr>
        <w:t xml:space="preserve">7. Bukti &amp; Kredibilitas</w:t>
      </w:r>
    </w:p>
    <w:p>
      <w:pPr>
        <w:pStyle w:val="Heading2"/>
        <w:spacing w:after="120" w:before="280"/>
      </w:pPr>
      <w:r>
        <w:rPr>
          <w:b/>
          <w:bCs/>
          <w:color w:val="2E6DA4"/>
          <w:sz w:val="24"/>
          <w:szCs w:val="24"/>
        </w:rPr>
        <w:t xml:space="preserve">Pembicara</w:t>
      </w:r>
    </w:p>
    <w:p>
      <w:pPr>
        <w:spacing w:after="140" w:line="276"/>
      </w:pPr>
      <w:r>
        <w:rPr>
          <w:b w:val="false"/>
          <w:bCs w:val="false"/>
          <w:i w:val="false"/>
          <w:iCs w:val="false"/>
          <w:color w:val="262626"/>
          <w:sz w:val="21"/>
          <w:szCs w:val="21"/>
        </w:rPr>
        <w:t xml:space="preserve">Justin Wijaya — 19 tahun, 5 tahun pengalaman digital business &amp; freelance web development. Fokus ke Conversion Rate Optimization (CRO): membangun website yang benar-benar menjual, bukan cuma enak dilihat. Klien rata-rata mengalami kenaikan konversi 1,5–2x. 20K+ followers Instagram (@justinwijaya_).</w:t>
      </w:r>
    </w:p>
    <w:p>
      <w:pPr>
        <w:pStyle w:val="Heading2"/>
        <w:spacing w:after="120" w:before="280"/>
      </w:pPr>
      <w:r>
        <w:rPr>
          <w:b/>
          <w:bCs/>
          <w:color w:val="2E6DA4"/>
          <w:sz w:val="24"/>
          <w:szCs w:val="24"/>
        </w:rPr>
        <w:t xml:space="preserve">Social proof umum</w:t>
      </w:r>
    </w:p>
    <w:p>
      <w:pPr>
        <w:pStyle w:val="ListParagraph"/>
        <w:numPr>
          <w:ilvl w:val="0"/>
          <w:numId w:val="2"/>
        </w:numPr>
        <w:spacing w:after="60"/>
      </w:pPr>
      <w:r>
        <w:rPr>
          <w:sz w:val="21"/>
          <w:szCs w:val="21"/>
        </w:rPr>
        <w:t xml:space="preserve">Dipercaya 100+ bisnis</w:t>
      </w:r>
    </w:p>
    <w:p>
      <w:pPr>
        <w:pStyle w:val="ListParagraph"/>
        <w:numPr>
          <w:ilvl w:val="0"/>
          <w:numId w:val="2"/>
        </w:numPr>
        <w:spacing w:after="60"/>
      </w:pPr>
      <w:r>
        <w:rPr>
          <w:sz w:val="21"/>
          <w:szCs w:val="21"/>
        </w:rPr>
        <w:t xml:space="preserve">Rating 4,9/5</w:t>
      </w:r>
    </w:p>
    <w:p>
      <w:pPr>
        <w:pStyle w:val="ListParagraph"/>
        <w:numPr>
          <w:ilvl w:val="0"/>
          <w:numId w:val="2"/>
        </w:numPr>
        <w:spacing w:after="60"/>
      </w:pPr>
      <w:r>
        <w:rPr>
          <w:sz w:val="21"/>
          <w:szCs w:val="21"/>
        </w:rPr>
        <w:t xml:space="preserve">Garansi 100%</w:t>
      </w:r>
    </w:p>
    <w:p>
      <w:pPr>
        <w:keepNext/>
        <w:keepLines/>
        <w:pBdr>
          <w:top w:val="single" w:color="FFF8E1" w:sz="2"/>
          <w:bottom w:val="single" w:color="FFF8E1" w:sz="2"/>
          <w:left w:val="single" w:color="F0AD4E" w:sz="24" w:space="8"/>
          <w:right w:val="single" w:color="FFF8E1" w:sz="2"/>
        </w:pBdr>
        <w:shd w:fill="FFF8E1" w:val="clear"/>
        <w:spacing w:after="20" w:before="60"/>
        <w:ind w:left="160"/>
      </w:pPr>
      <w:r>
        <w:rPr>
          <w:b/>
          <w:bCs/>
          <w:color w:val="262626"/>
          <w:sz w:val="20"/>
          <w:szCs w:val="20"/>
        </w:rPr>
        <w:t xml:space="preserve">⚠  Perlu dikonfirmasi Justin</w:t>
      </w:r>
    </w:p>
    <w:p>
      <w:pPr>
        <w:keepNext w:val="false"/>
        <w:keepLines/>
        <w:pBdr>
          <w:top w:val="single" w:color="FFF8E1" w:sz="2"/>
          <w:bottom w:val="single" w:color="FFF8E1" w:sz="2"/>
          <w:left w:val="single" w:color="F0AD4E" w:sz="24" w:space="8"/>
          <w:right w:val="single" w:color="FFF8E1" w:sz="2"/>
        </w:pBdr>
        <w:shd w:fill="FFF8E1" w:val="clear"/>
        <w:spacing w:after="60" w:before="0"/>
        <w:ind w:left="160"/>
      </w:pPr>
      <w:r>
        <w:rPr>
          <w:color w:val="3a3a3a"/>
          <w:sz w:val="20"/>
          <w:szCs w:val="20"/>
        </w:rPr>
        <w:t xml:space="preserve">"Garansi 100%" dipakai sebagai trust badge tapi cakupannya belum dijelaskan di materi manapun — uang kembali? Kepuasan materi? Kalau mau dipakai kandidat sebagai klaim, perlu diperjelas dulu supaya tidak jadi janji kosong.</w:t>
      </w:r>
    </w:p>
    <w:p>
      <w:pPr>
        <w:spacing w:after="140"/>
      </w:pPr>
    </w:p>
    <w:p>
      <w:pPr>
        <w:pStyle w:val="Heading2"/>
        <w:spacing w:after="120" w:before="280"/>
      </w:pPr>
      <w:r>
        <w:rPr>
          <w:b/>
          <w:bCs/>
          <w:color w:val="2E6DA4"/>
          <w:sz w:val="24"/>
          <w:szCs w:val="24"/>
        </w:rPr>
        <w:t xml:space="preserve">Studi kasus / testimoni</w:t>
      </w:r>
    </w:p>
    <w:p>
      <w:pPr>
        <w:pStyle w:val="ListParagraph"/>
        <w:numPr>
          <w:ilvl w:val="0"/>
          <w:numId w:val="2"/>
        </w:numPr>
        <w:spacing w:after="60"/>
      </w:pPr>
      <w:r>
        <w:rPr>
          <w:sz w:val="21"/>
          <w:szCs w:val="21"/>
        </w:rPr>
        <w:t xml:space="preserve">Tsania Latheefa (Content Creator, 52.8K followers) — omset naik dari Rp20 juta ke Rp30 juta per bulan setelah optimasi &amp; bedah landing page.</w:t>
      </w:r>
    </w:p>
    <w:p>
      <w:pPr>
        <w:pStyle w:val="ListParagraph"/>
        <w:numPr>
          <w:ilvl w:val="0"/>
          <w:numId w:val="2"/>
        </w:numPr>
        <w:spacing w:after="60"/>
      </w:pPr>
      <w:r>
        <w:rPr>
          <w:sz w:val="21"/>
          <w:szCs w:val="21"/>
        </w:rPr>
        <w:t xml:space="preserve">Klien lain (bukti percakapan WhatsApp) — ROAS naik jadi 5, purchase meningkat langsung terlihat dari landing page checkout, dikonfirmasi klien sendiri bahwa kenaikan ini di luar pola musiman biasa.</w:t>
      </w:r>
    </w:p>
    <w:p>
      <w:pPr>
        <w:pStyle w:val="ListParagraph"/>
        <w:numPr>
          <w:ilvl w:val="0"/>
          <w:numId w:val="2"/>
        </w:numPr>
        <w:spacing w:after="60"/>
      </w:pPr>
      <w:r>
        <w:rPr>
          <w:sz w:val="21"/>
          <w:szCs w:val="21"/>
        </w:rPr>
        <w:t xml:space="preserve">Ada juga rekaman testimoni video dari Justin Reifan Wijaya dan Jonathan Wilson — isi klaimnya belum ditranskrip di brief ini. Siapkan cuplikan transkrip singkat kalau mau kandidat memakainya.</w:t>
      </w:r>
    </w:p>
    <w:p>
      <w:r>
        <w:br w:type="page"/>
      </w:r>
    </w:p>
    <w:p>
      <w:pPr>
        <w:pStyle w:val="Heading1"/>
        <w:pBdr>
          <w:bottom w:val="single" w:color="2E6DA4" w:sz="6" w:space="4"/>
        </w:pBdr>
        <w:spacing w:after="160" w:before="360"/>
      </w:pPr>
      <w:r>
        <w:rPr>
          <w:b/>
          <w:bCs/>
          <w:color w:val="1F4E79"/>
          <w:sz w:val="30"/>
          <w:szCs w:val="30"/>
        </w:rPr>
        <w:t xml:space="preserve">8. Penawaran &amp; Harga</w:t>
      </w:r>
    </w:p>
    <w:p>
      <w:pPr>
        <w:pStyle w:val="ListParagraph"/>
        <w:numPr>
          <w:ilvl w:val="0"/>
          <w:numId w:val="2"/>
        </w:numPr>
        <w:spacing w:after="60"/>
      </w:pPr>
      <w:r>
        <w:rPr>
          <w:sz w:val="21"/>
          <w:szCs w:val="21"/>
        </w:rPr>
        <w:t xml:space="preserve">Harga early bird: Rp79.000 (dari harga normal Rp299.000).</w:t>
      </w:r>
    </w:p>
    <w:p>
      <w:pPr>
        <w:pStyle w:val="ListParagraph"/>
        <w:numPr>
          <w:ilvl w:val="0"/>
          <w:numId w:val="2"/>
        </w:numPr>
        <w:spacing w:after="60"/>
      </w:pPr>
      <w:r>
        <w:rPr>
          <w:sz w:val="21"/>
          <w:szCs w:val="21"/>
        </w:rPr>
        <w:t xml:space="preserve">Ada elemen urgency: countdown timer untuk periode harga early bird.</w:t>
      </w:r>
    </w:p>
    <w:p>
      <w:pPr>
        <w:pStyle w:val="ListParagraph"/>
        <w:numPr>
          <w:ilvl w:val="0"/>
          <w:numId w:val="2"/>
        </w:numPr>
        <w:spacing w:after="60"/>
      </w:pPr>
      <w:r>
        <w:rPr>
          <w:sz w:val="21"/>
          <w:szCs w:val="21"/>
        </w:rPr>
        <w:t xml:space="preserve">Semua bonus di bagian 5 termasuk dalam harga ini — tidak ada biaya tambahan.</w:t>
      </w:r>
    </w:p>
    <w:p>
      <w:pPr>
        <w:pStyle w:val="Heading1"/>
        <w:pBdr>
          <w:bottom w:val="single" w:color="2E6DA4" w:sz="6" w:space="4"/>
        </w:pBdr>
        <w:spacing w:after="160" w:before="360"/>
      </w:pPr>
      <w:r>
        <w:rPr>
          <w:b/>
          <w:bCs/>
          <w:color w:val="1F4E79"/>
          <w:sz w:val="30"/>
          <w:szCs w:val="30"/>
        </w:rPr>
        <w:t xml:space="preserve">9. Batasan Penggunaan Brief Ini</w:t>
      </w:r>
    </w:p>
    <w:p>
      <w:pPr>
        <w:pStyle w:val="ListParagraph"/>
        <w:numPr>
          <w:ilvl w:val="0"/>
          <w:numId w:val="2"/>
        </w:numPr>
        <w:spacing w:after="60"/>
      </w:pPr>
      <w:r>
        <w:rPr>
          <w:sz w:val="21"/>
          <w:szCs w:val="21"/>
        </w:rPr>
        <w:t xml:space="preserve">Ini kumpulan fakta &amp; materi, bukan naskah copy yang harus ditiru kata per kata.</w:t>
      </w:r>
    </w:p>
    <w:p>
      <w:pPr>
        <w:pStyle w:val="ListParagraph"/>
        <w:numPr>
          <w:ilvl w:val="0"/>
          <w:numId w:val="2"/>
        </w:numPr>
        <w:spacing w:after="60"/>
      </w:pPr>
      <w:r>
        <w:rPr>
          <w:sz w:val="21"/>
          <w:szCs w:val="21"/>
        </w:rPr>
        <w:t xml:space="preserve">Kandidat wajib menulis headline, subheadline, body copy, dan CTA dengan kata-kata sendiri.</w:t>
      </w:r>
    </w:p>
    <w:p>
      <w:pPr>
        <w:pStyle w:val="ListParagraph"/>
        <w:numPr>
          <w:ilvl w:val="0"/>
          <w:numId w:val="2"/>
        </w:numPr>
        <w:spacing w:after="60"/>
      </w:pPr>
      <w:r>
        <w:rPr>
          <w:sz w:val="21"/>
          <w:szCs w:val="21"/>
        </w:rPr>
        <w:t xml:space="preserve">Boleh eksplorasi angle atau framing baru, selama tetap akurat terhadap fakta di dokumen ini.</w:t>
      </w:r>
    </w:p>
    <w:p>
      <w:pPr>
        <w:pStyle w:val="ListParagraph"/>
        <w:numPr>
          <w:ilvl w:val="0"/>
          <w:numId w:val="2"/>
        </w:numPr>
        <w:spacing w:after="60"/>
      </w:pPr>
      <w:r>
        <w:rPr>
          <w:sz w:val="21"/>
          <w:szCs w:val="21"/>
        </w:rPr>
        <w:t xml:space="preserve">Jangan menambahkan klaim, angka, atau testimoni yang tidak disebutkan di sini — termasuk jangan mengarang ulang angka omset/ROAS.</w:t>
      </w:r>
    </w:p>
    <w:p>
      <w:pPr>
        <w:pStyle w:val="ListParagraph"/>
        <w:numPr>
          <w:ilvl w:val="0"/>
          <w:numId w:val="2"/>
        </w:numPr>
        <w:spacing w:after="60"/>
      </w:pPr>
      <w:r>
        <w:rPr>
          <w:sz w:val="21"/>
          <w:szCs w:val="21"/>
        </w:rPr>
        <w:t xml:space="preserve">Struktur section, layout, dan elemen wajib landing page mengikuti dokumen Framework &amp; Struktur Landing Page terpisah — brief ini murni soal konten.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2026-08-10T03:23:53.452Z</dcterms:created>
  <dcterms:modified xsi:type="dcterms:W3CDTF">2026-08-10T03:23:53.468Z</dcterms:modified>
</cp:coreProperties>
</file>

<file path=docProps/custom.xml><?xml version="1.0" encoding="utf-8"?>
<Properties xmlns="http://schemas.openxmlformats.org/officeDocument/2006/custom-properties" xmlns:vt="http://schemas.openxmlformats.org/officeDocument/2006/docPropsVTypes"/>
</file>