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NIRIKSHAN AI Project Reference Guide</w:t>
      </w:r>
    </w:p>
    <w:p>
      <w:r>
        <w:t>This guide explains what the project does, why it is used, how every model and rule works, and how a reviewer should use the website.</w:t>
      </w:r>
    </w:p>
    <w:p>
      <w:pPr>
        <w:pStyle w:val="Heading1"/>
      </w:pPr>
      <w:r>
        <w:t>1. Purpose</w:t>
      </w:r>
    </w:p>
    <w:p>
      <w:r>
        <w:t>NIRIKSHAN AI is an MPLADS monitoring and review tool. It reads work descriptions, dates, sanctioned amounts, expenditure, progress, location, and related records. It highlights records that need human checking and explains why.</w:t>
      </w:r>
    </w:p>
    <w:p>
      <w:r>
        <w:t>It is a decision-support system. A high score is not proof of fraud.</w:t>
      </w:r>
    </w:p>
    <w:p>
      <w:pPr>
        <w:pStyle w:val="Heading1"/>
      </w:pPr>
      <w:r>
        <w:t>2. Complete Workflow</w:t>
      </w:r>
    </w:p>
    <w:p>
      <w:pPr>
        <w:jc w:val="center"/>
      </w:pPr>
      <w:r>
        <w:drawing>
          <wp:inline xmlns:a="http://schemas.openxmlformats.org/drawingml/2006/main" xmlns:pic="http://schemas.openxmlformats.org/drawingml/2006/picture">
            <wp:extent cx="6217920" cy="1160678"/>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217920" cy="1160678"/>
                    </a:xfrm>
                    <a:prstGeom prst="rect"/>
                  </pic:spPr>
                </pic:pic>
              </a:graphicData>
            </a:graphic>
          </wp:inline>
        </w:drawing>
      </w:r>
    </w:p>
    <w:p>
      <w:pPr>
        <w:pStyle w:val="Heading2"/>
      </w:pPr>
      <w:r>
        <w:t>What happens at each step</w:t>
      </w:r>
    </w:p>
    <w:p>
      <w:r>
        <w:t>1. **Source data:** recommendations, sanctions, completions, and expenditure are loaded.</w:t>
      </w:r>
    </w:p>
    <w:p>
      <w:r>
        <w:t>2. **Cleaning:** work IDs, dates, amounts, names, locations, and descriptions are standardized.</w:t>
      </w:r>
    </w:p>
    <w:p>
      <w:r>
        <w:t>3. **Classification:** the description is assigned to a sector and sub-sector.</w:t>
      </w:r>
    </w:p>
    <w:p>
      <w:r>
        <w:t>4. **Scoring:** financial, duplicate, compliance, and material context checks are calculated.</w:t>
      </w:r>
    </w:p>
    <w:p>
      <w:r>
        <w:t>5. **Final priority:** all scores are combined into one review score.</w:t>
      </w:r>
    </w:p>
    <w:p>
      <w:r>
        <w:t>6. **Review:** Risk Monitor shows the highest-priority work first.</w:t>
      </w:r>
    </w:p>
    <w:p>
      <w:pPr>
        <w:pStyle w:val="Heading1"/>
      </w:pPr>
      <w:r>
        <w:t>3. Data Used</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6"/>
              </w:rPr>
              <w:t>Data</w:t>
            </w:r>
          </w:p>
        </w:tc>
        <w:tc>
          <w:tcPr>
            <w:tcW w:type="dxa" w:w="5112"/>
            <w:shd w:fill="1F4E79"/>
          </w:tcPr>
          <w:p>
            <w:r>
              <w:rPr>
                <w:b/>
                <w:color w:val="FFFFFF"/>
                <w:sz w:val="16"/>
              </w:rPr>
              <w:t>Used for</w:t>
            </w:r>
          </w:p>
        </w:tc>
      </w:tr>
      <w:tr>
        <w:tc>
          <w:tcPr>
            <w:tcW w:type="dxa" w:w="5112"/>
          </w:tcPr>
          <w:p>
            <w:r>
              <w:rPr>
                <w:sz w:val="16"/>
              </w:rPr>
              <w:t>Recommended works</w:t>
            </w:r>
          </w:p>
        </w:tc>
        <w:tc>
          <w:tcPr>
            <w:tcW w:type="dxa" w:w="5112"/>
          </w:tcPr>
          <w:p>
            <w:r>
              <w:rPr>
                <w:sz w:val="16"/>
              </w:rPr>
              <w:t>Recommendation date, description, repeat-work check</w:t>
            </w:r>
          </w:p>
        </w:tc>
      </w:tr>
      <w:tr>
        <w:tc>
          <w:tcPr>
            <w:tcW w:type="dxa" w:w="5112"/>
          </w:tcPr>
          <w:p>
            <w:r>
              <w:rPr>
                <w:sz w:val="16"/>
              </w:rPr>
              <w:t>Sanctioned works</w:t>
            </w:r>
          </w:p>
        </w:tc>
        <w:tc>
          <w:tcPr>
            <w:tcW w:type="dxa" w:w="5112"/>
          </w:tcPr>
          <w:p>
            <w:r>
              <w:rPr>
                <w:sz w:val="16"/>
              </w:rPr>
              <w:t>Sanction date, sanctioned amount, state, constituency</w:t>
            </w:r>
          </w:p>
        </w:tc>
      </w:tr>
      <w:tr>
        <w:tc>
          <w:tcPr>
            <w:tcW w:type="dxa" w:w="5112"/>
          </w:tcPr>
          <w:p>
            <w:r>
              <w:rPr>
                <w:sz w:val="16"/>
              </w:rPr>
              <w:t>Completed works</w:t>
            </w:r>
          </w:p>
        </w:tc>
        <w:tc>
          <w:tcPr>
            <w:tcW w:type="dxa" w:w="5112"/>
          </w:tcPr>
          <w:p>
            <w:r>
              <w:rPr>
                <w:sz w:val="16"/>
              </w:rPr>
              <w:t>Completion date and completion status</w:t>
            </w:r>
          </w:p>
        </w:tc>
      </w:tr>
      <w:tr>
        <w:tc>
          <w:tcPr>
            <w:tcW w:type="dxa" w:w="5112"/>
          </w:tcPr>
          <w:p>
            <w:r>
              <w:rPr>
                <w:sz w:val="16"/>
              </w:rPr>
              <w:t>Expenditure records</w:t>
            </w:r>
          </w:p>
        </w:tc>
        <w:tc>
          <w:tcPr>
            <w:tcW w:type="dxa" w:w="5112"/>
          </w:tcPr>
          <w:p>
            <w:r>
              <w:rPr>
                <w:sz w:val="16"/>
              </w:rPr>
              <w:t>Spending and progress checks</w:t>
            </w:r>
          </w:p>
        </w:tc>
      </w:tr>
      <w:tr>
        <w:tc>
          <w:tcPr>
            <w:tcW w:type="dxa" w:w="5112"/>
          </w:tcPr>
          <w:p>
            <w:r>
              <w:rPr>
                <w:sz w:val="16"/>
              </w:rPr>
              <w:t>Sector cost reference</w:t>
            </w:r>
          </w:p>
        </w:tc>
        <w:tc>
          <w:tcPr>
            <w:tcW w:type="dxa" w:w="5112"/>
          </w:tcPr>
          <w:p>
            <w:r>
              <w:rPr>
                <w:sz w:val="16"/>
              </w:rPr>
              <w:t>Expected cost by sector, sub-sector, quantity, and location</w:t>
            </w:r>
          </w:p>
        </w:tc>
      </w:tr>
    </w:tbl>
    <w:p/>
    <w:p>
      <w:pPr>
        <w:pStyle w:val="Heading1"/>
      </w:pPr>
      <w:r>
        <w:t>4. Work Classification Model</w:t>
      </w:r>
    </w:p>
    <w:p>
      <w:pPr>
        <w:pStyle w:val="Heading2"/>
      </w:pPr>
      <w:r>
        <w:t>Models and conditions</w:t>
      </w:r>
    </w:p>
    <w:p>
      <w:pPr>
        <w:pStyle w:val="ListBullet"/>
      </w:pPr>
      <w:r>
        <w:t>**Text cleaning:** makes words consistent and removes unnecessary text.</w:t>
      </w:r>
    </w:p>
    <w:p>
      <w:pPr>
        <w:pStyle w:val="ListBullet"/>
      </w:pPr>
      <w:r>
        <w:t>**Vocabulary matching:** connects related words such as `light`, `lights`, and `lighting`.</w:t>
      </w:r>
    </w:p>
    <w:p>
      <w:pPr>
        <w:pStyle w:val="ListBullet"/>
      </w:pPr>
      <w:r>
        <w:t>**TF-IDF:** gives more importance to words that help identify the type of work.</w:t>
      </w:r>
    </w:p>
    <w:p>
      <w:pPr>
        <w:pStyle w:val="ListBullet"/>
      </w:pPr>
      <w:r>
        <w:t>**Linear SVM:** chooses the most likely sector and sub-sector from learned word patterns.</w:t>
      </w:r>
    </w:p>
    <w:p>
      <w:pPr>
        <w:pStyle w:val="ListBullet"/>
      </w:pPr>
      <w:r>
        <w:t>**Confidence:** shows how strongly the description supports the selected class. It is not proof that the classification is correct.</w:t>
      </w:r>
    </w:p>
    <w:p>
      <w:pPr>
        <w:pStyle w:val="ListBullet"/>
      </w:pPr>
      <w:r>
        <w:t>**Quantity reading:** finds numbers and units such as `9 poles`, `3 lights`, `1 km`, and `2 rooms`.</w:t>
      </w:r>
    </w:p>
    <w:p>
      <w:pPr>
        <w:pStyle w:val="Heading1"/>
      </w:pPr>
      <w:r>
        <w:t>5. Financial Anomaly Model</w:t>
      </w:r>
    </w:p>
    <w:p>
      <w:pPr>
        <w:jc w:val="center"/>
      </w:pPr>
      <w:r>
        <w:drawing>
          <wp:inline xmlns:a="http://schemas.openxmlformats.org/drawingml/2006/main" xmlns:pic="http://schemas.openxmlformats.org/drawingml/2006/picture">
            <wp:extent cx="6217920" cy="1160678"/>
            <wp:docPr id="2" name="Picture 2"/>
            <wp:cNvGraphicFramePr>
              <a:graphicFrameLocks noChangeAspect="1"/>
            </wp:cNvGraphicFramePr>
            <a:graphic>
              <a:graphicData uri="http://schemas.openxmlformats.org/drawingml/2006/picture">
                <pic:pic>
                  <pic:nvPicPr>
                    <pic:cNvPr id="0" name="financial.png"/>
                    <pic:cNvPicPr/>
                  </pic:nvPicPr>
                  <pic:blipFill>
                    <a:blip r:embed="rId10"/>
                    <a:stretch>
                      <a:fillRect/>
                    </a:stretch>
                  </pic:blipFill>
                  <pic:spPr>
                    <a:xfrm>
                      <a:off x="0" y="0"/>
                      <a:ext cx="6217920" cy="1160678"/>
                    </a:xfrm>
                    <a:prstGeom prst="rect"/>
                  </pic:spPr>
                </pic:pic>
              </a:graphicData>
            </a:graphic>
          </wp:inline>
        </w:drawing>
      </w:r>
    </w:p>
    <w:p>
      <w:pPr>
        <w:pStyle w:val="Heading2"/>
      </w:pPr>
      <w:r>
        <w:t>Financial calculations</w:t>
      </w:r>
    </w:p>
    <w:p>
      <w:r>
        <w:t>1. **Expected total:** reference unit cost × quantity × location multiplier.</w:t>
      </w:r>
    </w:p>
    <w:p>
      <w:r>
        <w:t>2. **Expected range:** used when the exact subtype is not certain.</w:t>
      </w:r>
    </w:p>
    <w:p>
      <w:r>
        <w:t>3. **Peer median:** the middle sanctioned amount among similar sector and state works.</w:t>
      </w:r>
    </w:p>
    <w:p>
      <w:r>
        <w:t>4. **Peer ratio:** sanctioned amount ÷ peer median.</w:t>
      </w:r>
    </w:p>
    <w:p>
      <w:r>
        <w:t>5. **Percentile:** shows how high the amount is compared with similar works.</w:t>
      </w:r>
    </w:p>
    <w:p>
      <w:r>
        <w:t>6. **IQR upper limit:** `Q3 + 1.5 × (Q3 - Q1)` identifies unusually high amounts.</w:t>
      </w:r>
    </w:p>
    <w:p>
      <w:r>
        <w:t>7. **Isolation Forest:** checks amount, expenditure, peer ratio, payment count, and expenditure-to-sanction ratio together.</w:t>
      </w:r>
    </w:p>
    <w:p>
      <w:r>
        <w:t>Important condition: if a quantity-based expected range exists and the cost is inside it, the work is not marked financially risky only because the broad peer median is lower.</w:t>
      </w:r>
    </w:p>
    <w:p>
      <w:pPr>
        <w:pStyle w:val="Heading1"/>
      </w:pPr>
      <w:r>
        <w:t>6. Compliance Rules</w:t>
      </w:r>
    </w:p>
    <w:p>
      <w:r>
        <w:t>Compliance has the highest weight in the final score because it checks dates, progress, required records, and approved money.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6"/>
              </w:rPr>
              <w:t>ID</w:t>
            </w:r>
          </w:p>
        </w:tc>
        <w:tc>
          <w:tcPr>
            <w:tcW w:type="dxa" w:w="2556"/>
            <w:shd w:fill="1F4E79"/>
          </w:tcPr>
          <w:p>
            <w:r>
              <w:rPr>
                <w:b/>
                <w:color w:val="FFFFFF"/>
                <w:sz w:val="16"/>
              </w:rPr>
              <w:t>Rule</w:t>
            </w:r>
          </w:p>
        </w:tc>
        <w:tc>
          <w:tcPr>
            <w:tcW w:type="dxa" w:w="2556"/>
            <w:shd w:fill="1F4E79"/>
          </w:tcPr>
          <w:p>
            <w:r>
              <w:rPr>
                <w:b/>
                <w:color w:val="FFFFFF"/>
                <w:sz w:val="16"/>
              </w:rPr>
              <w:t>Condition</w:t>
            </w:r>
          </w:p>
        </w:tc>
        <w:tc>
          <w:tcPr>
            <w:tcW w:type="dxa" w:w="2556"/>
            <w:shd w:fill="1F4E79"/>
          </w:tcPr>
          <w:p>
            <w:r>
              <w:rPr>
                <w:b/>
                <w:color w:val="FFFFFF"/>
                <w:sz w:val="16"/>
              </w:rPr>
              <w:t>Result</w:t>
            </w:r>
          </w:p>
        </w:tc>
      </w:tr>
      <w:tr>
        <w:tc>
          <w:tcPr>
            <w:tcW w:type="dxa" w:w="2556"/>
          </w:tcPr>
          <w:p>
            <w:r>
              <w:rPr>
                <w:sz w:val="16"/>
              </w:rPr>
              <w:t>C01</w:t>
            </w:r>
          </w:p>
        </w:tc>
        <w:tc>
          <w:tcPr>
            <w:tcW w:type="dxa" w:w="2556"/>
          </w:tcPr>
          <w:p>
            <w:r>
              <w:rPr>
                <w:sz w:val="16"/>
              </w:rPr>
              <w:t>Recommendation to sanction</w:t>
            </w:r>
          </w:p>
        </w:tc>
        <w:tc>
          <w:tcPr>
            <w:tcW w:type="dxa" w:w="2556"/>
          </w:tcPr>
          <w:p>
            <w:r>
              <w:rPr>
                <w:sz w:val="16"/>
              </w:rPr>
              <w:t>More than 45 days</w:t>
            </w:r>
          </w:p>
        </w:tc>
        <w:tc>
          <w:tcPr>
            <w:tcW w:type="dxa" w:w="2556"/>
          </w:tcPr>
          <w:p>
            <w:r>
              <w:rPr>
                <w:sz w:val="16"/>
              </w:rPr>
              <w:t>Critical</w:t>
            </w:r>
          </w:p>
        </w:tc>
      </w:tr>
      <w:tr>
        <w:tc>
          <w:tcPr>
            <w:tcW w:type="dxa" w:w="2556"/>
          </w:tcPr>
          <w:p>
            <w:r>
              <w:rPr>
                <w:sz w:val="16"/>
              </w:rPr>
              <w:t>C02</w:t>
            </w:r>
          </w:p>
        </w:tc>
        <w:tc>
          <w:tcPr>
            <w:tcW w:type="dxa" w:w="2556"/>
          </w:tcPr>
          <w:p>
            <w:r>
              <w:rPr>
                <w:sz w:val="16"/>
              </w:rPr>
              <w:t>Repeat recommendation</w:t>
            </w:r>
          </w:p>
        </w:tc>
        <w:tc>
          <w:tcPr>
            <w:tcW w:type="dxa" w:w="2556"/>
          </w:tcPr>
          <w:p>
            <w:r>
              <w:rPr>
                <w:sz w:val="16"/>
              </w:rPr>
              <w:t>Similar work and location within 180 days</w:t>
            </w:r>
          </w:p>
        </w:tc>
        <w:tc>
          <w:tcPr>
            <w:tcW w:type="dxa" w:w="2556"/>
          </w:tcPr>
          <w:p>
            <w:r>
              <w:rPr>
                <w:sz w:val="16"/>
              </w:rPr>
              <w:t>Critical</w:t>
            </w:r>
          </w:p>
        </w:tc>
      </w:tr>
      <w:tr>
        <w:tc>
          <w:tcPr>
            <w:tcW w:type="dxa" w:w="2556"/>
          </w:tcPr>
          <w:p>
            <w:r>
              <w:rPr>
                <w:sz w:val="16"/>
              </w:rPr>
              <w:t>C03</w:t>
            </w:r>
          </w:p>
        </w:tc>
        <w:tc>
          <w:tcPr>
            <w:tcW w:type="dxa" w:w="2556"/>
          </w:tcPr>
          <w:p>
            <w:r>
              <w:rPr>
                <w:sz w:val="16"/>
              </w:rPr>
              <w:t>Minimum completion window</w:t>
            </w:r>
          </w:p>
        </w:tc>
        <w:tc>
          <w:tcPr>
            <w:tcW w:type="dxa" w:w="2556"/>
          </w:tcPr>
          <w:p>
            <w:r>
              <w:rPr>
                <w:sz w:val="16"/>
              </w:rPr>
              <w:t>Completed in under 15 days</w:t>
            </w:r>
          </w:p>
        </w:tc>
        <w:tc>
          <w:tcPr>
            <w:tcW w:type="dxa" w:w="2556"/>
          </w:tcPr>
          <w:p>
            <w:r>
              <w:rPr>
                <w:sz w:val="16"/>
              </w:rPr>
              <w:t>Critical</w:t>
            </w:r>
          </w:p>
        </w:tc>
      </w:tr>
      <w:tr>
        <w:tc>
          <w:tcPr>
            <w:tcW w:type="dxa" w:w="2556"/>
          </w:tcPr>
          <w:p>
            <w:r>
              <w:rPr>
                <w:sz w:val="16"/>
              </w:rPr>
              <w:t>C04</w:t>
            </w:r>
          </w:p>
        </w:tc>
        <w:tc>
          <w:tcPr>
            <w:tcW w:type="dxa" w:w="2556"/>
          </w:tcPr>
          <w:p>
            <w:r>
              <w:rPr>
                <w:sz w:val="16"/>
              </w:rPr>
              <w:t>Normal completion window</w:t>
            </w:r>
          </w:p>
        </w:tc>
        <w:tc>
          <w:tcPr>
            <w:tcW w:type="dxa" w:w="2556"/>
          </w:tcPr>
          <w:p>
            <w:r>
              <w:rPr>
                <w:sz w:val="16"/>
              </w:rPr>
              <w:t>Completed from 15 days to 1 year</w:t>
            </w:r>
          </w:p>
        </w:tc>
        <w:tc>
          <w:tcPr>
            <w:tcW w:type="dxa" w:w="2556"/>
          </w:tcPr>
          <w:p>
            <w:r>
              <w:rPr>
                <w:sz w:val="16"/>
              </w:rPr>
              <w:t>Compliant</w:t>
            </w:r>
          </w:p>
        </w:tc>
      </w:tr>
      <w:tr>
        <w:tc>
          <w:tcPr>
            <w:tcW w:type="dxa" w:w="2556"/>
          </w:tcPr>
          <w:p>
            <w:r>
              <w:rPr>
                <w:sz w:val="16"/>
              </w:rPr>
              <w:t>C05</w:t>
            </w:r>
          </w:p>
        </w:tc>
        <w:tc>
          <w:tcPr>
            <w:tcW w:type="dxa" w:w="2556"/>
          </w:tcPr>
          <w:p>
            <w:r>
              <w:rPr>
                <w:sz w:val="16"/>
              </w:rPr>
              <w:t>No progress after 1 year</w:t>
            </w:r>
          </w:p>
        </w:tc>
        <w:tc>
          <w:tcPr>
            <w:tcW w:type="dxa" w:w="2556"/>
          </w:tcPr>
          <w:p>
            <w:r>
              <w:rPr>
                <w:sz w:val="16"/>
              </w:rPr>
              <w:t>No completion or recorded progress</w:t>
            </w:r>
          </w:p>
        </w:tc>
        <w:tc>
          <w:tcPr>
            <w:tcW w:type="dxa" w:w="2556"/>
          </w:tcPr>
          <w:p>
            <w:r>
              <w:rPr>
                <w:sz w:val="16"/>
              </w:rPr>
              <w:t>Anomaly</w:t>
            </w:r>
          </w:p>
        </w:tc>
      </w:tr>
      <w:tr>
        <w:tc>
          <w:tcPr>
            <w:tcW w:type="dxa" w:w="2556"/>
          </w:tcPr>
          <w:p>
            <w:r>
              <w:rPr>
                <w:sz w:val="16"/>
              </w:rPr>
              <w:t>C06</w:t>
            </w:r>
          </w:p>
        </w:tc>
        <w:tc>
          <w:tcPr>
            <w:tcW w:type="dxa" w:w="2556"/>
          </w:tcPr>
          <w:p>
            <w:r>
              <w:rPr>
                <w:sz w:val="16"/>
              </w:rPr>
              <w:t>Extended completion window</w:t>
            </w:r>
          </w:p>
        </w:tc>
        <w:tc>
          <w:tcPr>
            <w:tcW w:type="dxa" w:w="2556"/>
          </w:tcPr>
          <w:p>
            <w:r>
              <w:rPr>
                <w:sz w:val="16"/>
              </w:rPr>
              <w:t>Partial progress within 18 months</w:t>
            </w:r>
          </w:p>
        </w:tc>
        <w:tc>
          <w:tcPr>
            <w:tcW w:type="dxa" w:w="2556"/>
          </w:tcPr>
          <w:p>
            <w:r>
              <w:rPr>
                <w:sz w:val="16"/>
              </w:rPr>
              <w:t>Monitor</w:t>
            </w:r>
          </w:p>
        </w:tc>
      </w:tr>
      <w:tr>
        <w:tc>
          <w:tcPr>
            <w:tcW w:type="dxa" w:w="2556"/>
          </w:tcPr>
          <w:p>
            <w:r>
              <w:rPr>
                <w:sz w:val="16"/>
              </w:rPr>
              <w:t>C07</w:t>
            </w:r>
          </w:p>
        </w:tc>
        <w:tc>
          <w:tcPr>
            <w:tcW w:type="dxa" w:w="2556"/>
          </w:tcPr>
          <w:p>
            <w:r>
              <w:rPr>
                <w:sz w:val="16"/>
              </w:rPr>
              <w:t>Beyond 18 months</w:t>
            </w:r>
          </w:p>
        </w:tc>
        <w:tc>
          <w:tcPr>
            <w:tcW w:type="dxa" w:w="2556"/>
          </w:tcPr>
          <w:p>
            <w:r>
              <w:rPr>
                <w:sz w:val="16"/>
              </w:rPr>
              <w:t>Partial-progress work still incomplete</w:t>
            </w:r>
          </w:p>
        </w:tc>
        <w:tc>
          <w:tcPr>
            <w:tcW w:type="dxa" w:w="2556"/>
          </w:tcPr>
          <w:p>
            <w:r>
              <w:rPr>
                <w:sz w:val="16"/>
              </w:rPr>
              <w:t>Critical</w:t>
            </w:r>
          </w:p>
        </w:tc>
      </w:tr>
      <w:tr>
        <w:tc>
          <w:tcPr>
            <w:tcW w:type="dxa" w:w="2556"/>
          </w:tcPr>
          <w:p>
            <w:r>
              <w:rPr>
                <w:sz w:val="16"/>
              </w:rPr>
              <w:t>C08</w:t>
            </w:r>
          </w:p>
        </w:tc>
        <w:tc>
          <w:tcPr>
            <w:tcW w:type="dxa" w:w="2556"/>
          </w:tcPr>
          <w:p>
            <w:r>
              <w:rPr>
                <w:sz w:val="16"/>
              </w:rPr>
              <w:t>Date consistency</w:t>
            </w:r>
          </w:p>
        </w:tc>
        <w:tc>
          <w:tcPr>
            <w:tcW w:type="dxa" w:w="2556"/>
          </w:tcPr>
          <w:p>
            <w:r>
              <w:rPr>
                <w:sz w:val="16"/>
              </w:rPr>
              <w:t>Recommendation &lt;= sanction &lt;= start &lt;= completion</w:t>
            </w:r>
          </w:p>
        </w:tc>
        <w:tc>
          <w:tcPr>
            <w:tcW w:type="dxa" w:w="2556"/>
          </w:tcPr>
          <w:p>
            <w:r>
              <w:rPr>
                <w:sz w:val="16"/>
              </w:rPr>
              <w:t>Warning or critical</w:t>
            </w:r>
          </w:p>
        </w:tc>
      </w:tr>
      <w:tr>
        <w:tc>
          <w:tcPr>
            <w:tcW w:type="dxa" w:w="2556"/>
          </w:tcPr>
          <w:p>
            <w:r>
              <w:rPr>
                <w:sz w:val="16"/>
              </w:rPr>
              <w:t>C09</w:t>
            </w:r>
          </w:p>
        </w:tc>
        <w:tc>
          <w:tcPr>
            <w:tcW w:type="dxa" w:w="2556"/>
          </w:tcPr>
          <w:p>
            <w:r>
              <w:rPr>
                <w:sz w:val="16"/>
              </w:rPr>
              <w:t>Expenditure consistency</w:t>
            </w:r>
          </w:p>
        </w:tc>
        <w:tc>
          <w:tcPr>
            <w:tcW w:type="dxa" w:w="2556"/>
          </w:tcPr>
          <w:p>
            <w:r>
              <w:rPr>
                <w:sz w:val="16"/>
              </w:rPr>
              <w:t>Spending is above sanctioned amount</w:t>
            </w:r>
          </w:p>
        </w:tc>
        <w:tc>
          <w:tcPr>
            <w:tcW w:type="dxa" w:w="2556"/>
          </w:tcPr>
          <w:p>
            <w:r>
              <w:rPr>
                <w:sz w:val="16"/>
              </w:rPr>
              <w:t>Warning or critical</w:t>
            </w:r>
          </w:p>
        </w:tc>
      </w:tr>
      <w:tr>
        <w:tc>
          <w:tcPr>
            <w:tcW w:type="dxa" w:w="2556"/>
          </w:tcPr>
          <w:p>
            <w:r>
              <w:rPr>
                <w:sz w:val="16"/>
              </w:rPr>
              <w:t>C10</w:t>
            </w:r>
          </w:p>
        </w:tc>
        <w:tc>
          <w:tcPr>
            <w:tcW w:type="dxa" w:w="2556"/>
          </w:tcPr>
          <w:p>
            <w:r>
              <w:rPr>
                <w:sz w:val="16"/>
              </w:rPr>
              <w:t>Invalid financial data</w:t>
            </w:r>
          </w:p>
        </w:tc>
        <w:tc>
          <w:tcPr>
            <w:tcW w:type="dxa" w:w="2556"/>
          </w:tcPr>
          <w:p>
            <w:r>
              <w:rPr>
                <w:sz w:val="16"/>
              </w:rPr>
              <w:t>Negative or impossible values</w:t>
            </w:r>
          </w:p>
        </w:tc>
        <w:tc>
          <w:tcPr>
            <w:tcW w:type="dxa" w:w="2556"/>
          </w:tcPr>
          <w:p>
            <w:r>
              <w:rPr>
                <w:sz w:val="16"/>
              </w:rPr>
              <w:t>Data quality</w:t>
            </w:r>
          </w:p>
        </w:tc>
      </w:tr>
      <w:tr>
        <w:tc>
          <w:tcPr>
            <w:tcW w:type="dxa" w:w="2556"/>
          </w:tcPr>
          <w:p>
            <w:r>
              <w:rPr>
                <w:sz w:val="16"/>
              </w:rPr>
              <w:t>C11</w:t>
            </w:r>
          </w:p>
        </w:tc>
        <w:tc>
          <w:tcPr>
            <w:tcW w:type="dxa" w:w="2556"/>
          </w:tcPr>
          <w:p>
            <w:r>
              <w:rPr>
                <w:sz w:val="16"/>
              </w:rPr>
              <w:t>Required information</w:t>
            </w:r>
          </w:p>
        </w:tc>
        <w:tc>
          <w:tcPr>
            <w:tcW w:type="dxa" w:w="2556"/>
          </w:tcPr>
          <w:p>
            <w:r>
              <w:rPr>
                <w:sz w:val="16"/>
              </w:rPr>
              <w:t>Critical fields are missing</w:t>
            </w:r>
          </w:p>
        </w:tc>
        <w:tc>
          <w:tcPr>
            <w:tcW w:type="dxa" w:w="2556"/>
          </w:tcPr>
          <w:p>
            <w:r>
              <w:rPr>
                <w:sz w:val="16"/>
              </w:rPr>
              <w:t>Data quality</w:t>
            </w:r>
          </w:p>
        </w:tc>
      </w:tr>
      <w:tr>
        <w:tc>
          <w:tcPr>
            <w:tcW w:type="dxa" w:w="2556"/>
          </w:tcPr>
          <w:p>
            <w:r>
              <w:rPr>
                <w:sz w:val="16"/>
              </w:rPr>
              <w:t>C12</w:t>
            </w:r>
          </w:p>
        </w:tc>
        <w:tc>
          <w:tcPr>
            <w:tcW w:type="dxa" w:w="2556"/>
          </w:tcPr>
          <w:p>
            <w:r>
              <w:rPr>
                <w:sz w:val="16"/>
              </w:rPr>
              <w:t>Completion consistency</w:t>
            </w:r>
          </w:p>
        </w:tc>
        <w:tc>
          <w:tcPr>
            <w:tcW w:type="dxa" w:w="2556"/>
          </w:tcPr>
          <w:p>
            <w:r>
              <w:rPr>
                <w:sz w:val="16"/>
              </w:rPr>
              <w:t>Status and completion date disagree</w:t>
            </w:r>
          </w:p>
        </w:tc>
        <w:tc>
          <w:tcPr>
            <w:tcW w:type="dxa" w:w="2556"/>
          </w:tcPr>
          <w:p>
            <w:r>
              <w:rPr>
                <w:sz w:val="16"/>
              </w:rPr>
              <w:t>Data quality</w:t>
            </w:r>
          </w:p>
        </w:tc>
      </w:tr>
    </w:tbl>
    <w:p/>
    <w:p>
      <w:r>
        <w:t>Image verification is optional. A missing image does not create a compliance failure by itself.</w:t>
      </w:r>
    </w:p>
    <w:p>
      <w:pPr>
        <w:pStyle w:val="Heading1"/>
      </w:pPr>
      <w:r>
        <w:t>7. Duplicate and Repeat Work Checks</w:t>
      </w:r>
    </w:p>
    <w:p>
      <w:pPr>
        <w:pStyle w:val="ListBullet"/>
      </w:pPr>
      <w:r>
        <w:t>Similar descriptions are compared within the same constituency.</w:t>
      </w:r>
    </w:p>
    <w:p>
      <w:pPr>
        <w:pStyle w:val="ListBullet"/>
      </w:pPr>
      <w:r>
        <w:t>A high similarity is only a candidate, not a confirmed duplicate.</w:t>
      </w:r>
    </w:p>
    <w:p>
      <w:pPr>
        <w:pStyle w:val="ListBullet"/>
      </w:pPr>
      <w:r>
        <w:t>C02 flags a similar normalized description in the same or similar location within 180 days.</w:t>
      </w:r>
    </w:p>
    <w:p>
      <w:pPr>
        <w:pStyle w:val="ListBullet"/>
      </w:pPr>
      <w:r>
        <w:t>The Duplicate Inspector shows the pair so the reviewer can compare dates, location, amount, and purpose.</w:t>
      </w:r>
    </w:p>
    <w:p>
      <w:pPr>
        <w:pStyle w:val="Heading1"/>
      </w:pPr>
      <w:r>
        <w:t>8. Final Risk Score</w:t>
      </w:r>
    </w:p>
    <w:p>
      <w:r>
        <w:t>The final score is a review priority, not a finding of wrongdoing.</w:t>
      </w:r>
    </w:p>
    <w:p>
      <w:r/>
    </w:p>
    <w:p>
      <w:r>
        <w:rPr>
          <w:rFonts w:ascii="Consolas" w:hAnsi="Consolas"/>
          <w:color w:val="1F4E79"/>
          <w:sz w:val="18"/>
        </w:rPr>
        <w:t>Composite = 0.40 × Compliance</w:t>
      </w:r>
    </w:p>
    <w:p>
      <w:r>
        <w:rPr>
          <w:rFonts w:ascii="Consolas" w:hAnsi="Consolas"/>
          <w:color w:val="1F4E79"/>
          <w:sz w:val="18"/>
        </w:rPr>
        <w:t xml:space="preserve">          + 0.35 × Financial</w:t>
      </w:r>
    </w:p>
    <w:p>
      <w:r>
        <w:rPr>
          <w:rFonts w:ascii="Consolas" w:hAnsi="Consolas"/>
          <w:color w:val="1F4E79"/>
          <w:sz w:val="18"/>
        </w:rPr>
        <w:t xml:space="preserve">          + 0.23 × Duplicate</w:t>
      </w:r>
    </w:p>
    <w:p>
      <w:r>
        <w:rPr>
          <w:rFonts w:ascii="Consolas" w:hAnsi="Consolas"/>
          <w:color w:val="1F4E79"/>
          <w:sz w:val="18"/>
        </w:rPr>
        <w:t xml:space="preserve">          + 0.02 × Material context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6"/>
              </w:rPr>
              <w:t>Part</w:t>
            </w:r>
          </w:p>
        </w:tc>
        <w:tc>
          <w:tcPr>
            <w:tcW w:type="dxa" w:w="3408"/>
            <w:shd w:fill="1F4E79"/>
          </w:tcPr>
          <w:p>
            <w:r>
              <w:rPr>
                <w:b/>
                <w:color w:val="FFFFFF"/>
                <w:sz w:val="16"/>
              </w:rPr>
              <w:t>Weight</w:t>
            </w:r>
          </w:p>
        </w:tc>
        <w:tc>
          <w:tcPr>
            <w:tcW w:type="dxa" w:w="3408"/>
            <w:shd w:fill="1F4E79"/>
          </w:tcPr>
          <w:p>
            <w:r>
              <w:rPr>
                <w:b/>
                <w:color w:val="FFFFFF"/>
                <w:sz w:val="16"/>
              </w:rPr>
              <w:t>Meaning</w:t>
            </w:r>
          </w:p>
        </w:tc>
      </w:tr>
      <w:tr>
        <w:tc>
          <w:tcPr>
            <w:tcW w:type="dxa" w:w="3408"/>
          </w:tcPr>
          <w:p>
            <w:r>
              <w:rPr>
                <w:sz w:val="16"/>
              </w:rPr>
              <w:t>Compliance</w:t>
            </w:r>
          </w:p>
        </w:tc>
        <w:tc>
          <w:tcPr>
            <w:tcW w:type="dxa" w:w="3408"/>
          </w:tcPr>
          <w:p>
            <w:r>
              <w:rPr>
                <w:sz w:val="16"/>
              </w:rPr>
              <w:t>40%</w:t>
            </w:r>
          </w:p>
        </w:tc>
        <w:tc>
          <w:tcPr>
            <w:tcW w:type="dxa" w:w="3408"/>
          </w:tcPr>
          <w:p>
            <w:r>
              <w:rPr>
                <w:sz w:val="16"/>
              </w:rPr>
              <w:t>Date, progress, required-field, status, and money checks</w:t>
            </w:r>
          </w:p>
        </w:tc>
      </w:tr>
      <w:tr>
        <w:tc>
          <w:tcPr>
            <w:tcW w:type="dxa" w:w="3408"/>
          </w:tcPr>
          <w:p>
            <w:r>
              <w:rPr>
                <w:sz w:val="16"/>
              </w:rPr>
              <w:t>Financial</w:t>
            </w:r>
          </w:p>
        </w:tc>
        <w:tc>
          <w:tcPr>
            <w:tcW w:type="dxa" w:w="3408"/>
          </w:tcPr>
          <w:p>
            <w:r>
              <w:rPr>
                <w:sz w:val="16"/>
              </w:rPr>
              <w:t>35%</w:t>
            </w:r>
          </w:p>
        </w:tc>
        <w:tc>
          <w:tcPr>
            <w:tcW w:type="dxa" w:w="3408"/>
          </w:tcPr>
          <w:p>
            <w:r>
              <w:rPr>
                <w:sz w:val="16"/>
              </w:rPr>
              <w:t>Cost compared with expected cost and similar works</w:t>
            </w:r>
          </w:p>
        </w:tc>
      </w:tr>
      <w:tr>
        <w:tc>
          <w:tcPr>
            <w:tcW w:type="dxa" w:w="3408"/>
          </w:tcPr>
          <w:p>
            <w:r>
              <w:rPr>
                <w:sz w:val="16"/>
              </w:rPr>
              <w:t>Duplicate</w:t>
            </w:r>
          </w:p>
        </w:tc>
        <w:tc>
          <w:tcPr>
            <w:tcW w:type="dxa" w:w="3408"/>
          </w:tcPr>
          <w:p>
            <w:r>
              <w:rPr>
                <w:sz w:val="16"/>
              </w:rPr>
              <w:t>23%</w:t>
            </w:r>
          </w:p>
        </w:tc>
        <w:tc>
          <w:tcPr>
            <w:tcW w:type="dxa" w:w="3408"/>
          </w:tcPr>
          <w:p>
            <w:r>
              <w:rPr>
                <w:sz w:val="16"/>
              </w:rPr>
              <w:t>Similarity with another work description</w:t>
            </w:r>
          </w:p>
        </w:tc>
      </w:tr>
      <w:tr>
        <w:tc>
          <w:tcPr>
            <w:tcW w:type="dxa" w:w="3408"/>
          </w:tcPr>
          <w:p>
            <w:r>
              <w:rPr>
                <w:sz w:val="16"/>
              </w:rPr>
              <w:t>Material context</w:t>
            </w:r>
          </w:p>
        </w:tc>
        <w:tc>
          <w:tcPr>
            <w:tcW w:type="dxa" w:w="3408"/>
          </w:tcPr>
          <w:p>
            <w:r>
              <w:rPr>
                <w:sz w:val="16"/>
              </w:rPr>
              <w:t>2%</w:t>
            </w:r>
          </w:p>
        </w:tc>
        <w:tc>
          <w:tcPr>
            <w:tcW w:type="dxa" w:w="3408"/>
          </w:tcPr>
          <w:p>
            <w:r>
              <w:rPr>
                <w:sz w:val="16"/>
              </w:rPr>
              <w:t>Supporting price context</w:t>
            </w:r>
          </w:p>
        </w:tc>
      </w:tr>
    </w:tbl>
    <w:p/>
    <w:p>
      <w:r>
        <w:t>Risk levels:</w:t>
      </w:r>
    </w:p>
    <w:p>
      <w:pPr>
        <w:pStyle w:val="ListBullet"/>
      </w:pPr>
      <w:r>
        <w:t>**LOW:** below 35</w:t>
      </w:r>
    </w:p>
    <w:p>
      <w:pPr>
        <w:pStyle w:val="ListBullet"/>
      </w:pPr>
      <w:r>
        <w:t>**MEDIUM:** 35 to 64</w:t>
      </w:r>
    </w:p>
    <w:p>
      <w:pPr>
        <w:pStyle w:val="ListBullet"/>
      </w:pPr>
      <w:r>
        <w:t>**HIGH:** 65 to 84</w:t>
      </w:r>
    </w:p>
    <w:p>
      <w:pPr>
        <w:pStyle w:val="ListBullet"/>
      </w:pPr>
      <w:r>
        <w:t>**CRITICAL:** 85 and above</w:t>
      </w:r>
    </w:p>
    <w:p>
      <w:pPr>
        <w:pStyle w:val="Heading1"/>
      </w:pPr>
      <w:r>
        <w:t>9. Website Screens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6"/>
              </w:rPr>
              <w:t>Screen</w:t>
            </w:r>
          </w:p>
        </w:tc>
        <w:tc>
          <w:tcPr>
            <w:tcW w:type="dxa" w:w="5112"/>
            <w:shd w:fill="1F4E79"/>
          </w:tcPr>
          <w:p>
            <w:r>
              <w:rPr>
                <w:b/>
                <w:color w:val="FFFFFF"/>
                <w:sz w:val="16"/>
              </w:rPr>
              <w:t>Purpose</w:t>
            </w:r>
          </w:p>
        </w:tc>
      </w:tr>
      <w:tr>
        <w:tc>
          <w:tcPr>
            <w:tcW w:type="dxa" w:w="5112"/>
          </w:tcPr>
          <w:p>
            <w:r>
              <w:rPr>
                <w:sz w:val="16"/>
              </w:rPr>
              <w:t>Overview</w:t>
            </w:r>
          </w:p>
        </w:tc>
        <w:tc>
          <w:tcPr>
            <w:tcW w:type="dxa" w:w="5112"/>
          </w:tcPr>
          <w:p>
            <w:r>
              <w:rPr>
                <w:sz w:val="16"/>
              </w:rPr>
              <w:t>Portfolio totals, risk by sector, and state summaries</w:t>
            </w:r>
          </w:p>
        </w:tc>
      </w:tr>
      <w:tr>
        <w:tc>
          <w:tcPr>
            <w:tcW w:type="dxa" w:w="5112"/>
          </w:tcPr>
          <w:p>
            <w:r>
              <w:rPr>
                <w:sz w:val="16"/>
              </w:rPr>
              <w:t>Risk Monitor</w:t>
            </w:r>
          </w:p>
        </w:tc>
        <w:tc>
          <w:tcPr>
            <w:tcW w:type="dxa" w:w="5112"/>
          </w:tcPr>
          <w:p>
            <w:r>
              <w:rPr>
                <w:sz w:val="16"/>
              </w:rPr>
              <w:t>Highest-priority works first; click a row to open details</w:t>
            </w:r>
          </w:p>
        </w:tc>
      </w:tr>
      <w:tr>
        <w:tc>
          <w:tcPr>
            <w:tcW w:type="dxa" w:w="5112"/>
          </w:tcPr>
          <w:p>
            <w:r>
              <w:rPr>
                <w:sz w:val="16"/>
              </w:rPr>
              <w:t>Projects</w:t>
            </w:r>
          </w:p>
        </w:tc>
        <w:tc>
          <w:tcPr>
            <w:tcW w:type="dxa" w:w="5112"/>
          </w:tcPr>
          <w:p>
            <w:r>
              <w:rPr>
                <w:sz w:val="16"/>
              </w:rPr>
              <w:t>Searchable directory in cards or table view</w:t>
            </w:r>
          </w:p>
        </w:tc>
      </w:tr>
      <w:tr>
        <w:tc>
          <w:tcPr>
            <w:tcW w:type="dxa" w:w="5112"/>
          </w:tcPr>
          <w:p>
            <w:r>
              <w:rPr>
                <w:sz w:val="16"/>
              </w:rPr>
              <w:t>Duplicate Inspector</w:t>
            </w:r>
          </w:p>
        </w:tc>
        <w:tc>
          <w:tcPr>
            <w:tcW w:type="dxa" w:w="5112"/>
          </w:tcPr>
          <w:p>
            <w:r>
              <w:rPr>
                <w:sz w:val="16"/>
              </w:rPr>
              <w:t>Similar work pairs and the 180-day repeat check</w:t>
            </w:r>
          </w:p>
        </w:tc>
      </w:tr>
      <w:tr>
        <w:tc>
          <w:tcPr>
            <w:tcW w:type="dxa" w:w="5112"/>
          </w:tcPr>
          <w:p>
            <w:r>
              <w:rPr>
                <w:sz w:val="16"/>
              </w:rPr>
              <w:t>Analytics</w:t>
            </w:r>
          </w:p>
        </w:tc>
        <w:tc>
          <w:tcPr>
            <w:tcW w:type="dxa" w:w="5112"/>
          </w:tcPr>
          <w:p>
            <w:r>
              <w:rPr>
                <w:sz w:val="16"/>
              </w:rPr>
              <w:t>Financial, duplicate, and compliance patterns</w:t>
            </w:r>
          </w:p>
        </w:tc>
      </w:tr>
      <w:tr>
        <w:tc>
          <w:tcPr>
            <w:tcW w:type="dxa" w:w="5112"/>
          </w:tcPr>
          <w:p>
            <w:r>
              <w:rPr>
                <w:sz w:val="16"/>
              </w:rPr>
              <w:t>Methodology</w:t>
            </w:r>
          </w:p>
        </w:tc>
        <w:tc>
          <w:tcPr>
            <w:tcW w:type="dxa" w:w="5112"/>
          </w:tcPr>
          <w:p>
            <w:r>
              <w:rPr>
                <w:sz w:val="16"/>
              </w:rPr>
              <w:t>Models, rules, weights, and limits</w:t>
            </w:r>
          </w:p>
        </w:tc>
      </w:tr>
    </w:tbl>
    <w:p/>
    <w:p>
      <w:pPr>
        <w:pStyle w:val="Heading1"/>
      </w:pPr>
      <w:r>
        <w:t>10. Reviewer Workflow</w:t>
      </w:r>
    </w:p>
    <w:p>
      <w:pPr>
        <w:jc w:val="center"/>
      </w:pPr>
      <w:r>
        <w:drawing>
          <wp:inline xmlns:a="http://schemas.openxmlformats.org/drawingml/2006/main" xmlns:pic="http://schemas.openxmlformats.org/drawingml/2006/picture">
            <wp:extent cx="6217920" cy="1160678"/>
            <wp:docPr id="3" name="Picture 3"/>
            <wp:cNvGraphicFramePr>
              <a:graphicFrameLocks noChangeAspect="1"/>
            </wp:cNvGraphicFramePr>
            <a:graphic>
              <a:graphicData uri="http://schemas.openxmlformats.org/drawingml/2006/picture">
                <pic:pic>
                  <pic:nvPicPr>
                    <pic:cNvPr id="0" name="review.png"/>
                    <pic:cNvPicPr/>
                  </pic:nvPicPr>
                  <pic:blipFill>
                    <a:blip r:embed="rId11"/>
                    <a:stretch>
                      <a:fillRect/>
                    </a:stretch>
                  </pic:blipFill>
                  <pic:spPr>
                    <a:xfrm>
                      <a:off x="0" y="0"/>
                      <a:ext cx="6217920" cy="1160678"/>
                    </a:xfrm>
                    <a:prstGeom prst="rect"/>
                  </pic:spPr>
                </pic:pic>
              </a:graphicData>
            </a:graphic>
          </wp:inline>
        </w:drawing>
      </w:r>
    </w:p>
    <w:p>
      <w:r>
        <w:t>Review in this order:</w:t>
      </w:r>
    </w:p>
    <w:p>
      <w:r>
        <w:t>1. Compliance reason</w:t>
      </w:r>
    </w:p>
    <w:p>
      <w:r>
        <w:t>2. Financial reason</w:t>
      </w:r>
    </w:p>
    <w:p>
      <w:r>
        <w:t>3. Duplicate reason</w:t>
      </w:r>
    </w:p>
    <w:p>
      <w:r>
        <w:t>4. Supporting material context</w:t>
      </w:r>
    </w:p>
    <w:p>
      <w:r>
        <w:t>Check dates, quantity, location, sanction, expenditure, progress, evidence, and related works before making a decision.</w:t>
      </w:r>
    </w:p>
    <w:p>
      <w:pPr>
        <w:pStyle w:val="Heading1"/>
      </w:pPr>
      <w:r>
        <w:t>11. Running the Website</w:t>
      </w:r>
    </w:p>
    <w:p>
      <w:r>
        <w:t>From `P:\SIH\mplads-main`, open two terminals.</w:t>
      </w:r>
    </w:p>
    <w:p>
      <w:r>
        <w:t>Terminal 1:</w:t>
      </w:r>
    </w:p>
    <w:p>
      <w:r/>
    </w:p>
    <w:p>
      <w:r>
        <w:rPr>
          <w:rFonts w:ascii="Consolas" w:hAnsi="Consolas"/>
          <w:color w:val="1F4E79"/>
          <w:sz w:val="18"/>
        </w:rPr>
        <w:t>npm run backend</w:t>
      </w:r>
    </w:p>
    <w:p>
      <w:r>
        <w:t>Terminal 2:</w:t>
      </w:r>
    </w:p>
    <w:p>
      <w:r/>
    </w:p>
    <w:p>
      <w:r>
        <w:rPr>
          <w:rFonts w:ascii="Consolas" w:hAnsi="Consolas"/>
          <w:color w:val="1F4E79"/>
          <w:sz w:val="18"/>
        </w:rPr>
        <w:t>npm run frontend</w:t>
      </w:r>
    </w:p>
    <w:p>
      <w:r>
        <w:t>Open `http://localhost:3000`.</w:t>
      </w:r>
    </w:p>
    <w:p>
      <w:r>
        <w:t>Backend API: `http://127.0.0.1:8000`.</w:t>
      </w:r>
    </w:p>
    <w:p>
      <w:r>
        <w:t>To rebuild analytical outputs after changing data or rules:</w:t>
      </w:r>
    </w:p>
    <w:p>
      <w:r/>
    </w:p>
    <w:p>
      <w:r>
        <w:rPr>
          <w:rFonts w:ascii="Consolas" w:hAnsi="Consolas"/>
          <w:color w:val="1F4E79"/>
          <w:sz w:val="18"/>
        </w:rPr>
        <w:t>npm run pipeline</w:t>
      </w:r>
    </w:p>
    <w:p>
      <w:pPr>
        <w:pStyle w:val="Heading1"/>
      </w:pPr>
      <w:r>
        <w:t>12. Main Code Files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6"/>
              </w:rPr>
              <w:t>File</w:t>
            </w:r>
          </w:p>
        </w:tc>
        <w:tc>
          <w:tcPr>
            <w:tcW w:type="dxa" w:w="5112"/>
            <w:shd w:fill="1F4E79"/>
          </w:tcPr>
          <w:p>
            <w:r>
              <w:rPr>
                <w:b/>
                <w:color w:val="FFFFFF"/>
                <w:sz w:val="16"/>
              </w:rPr>
              <w:t>Purpose</w:t>
            </w:r>
          </w:p>
        </w:tc>
      </w:tr>
      <w:tr>
        <w:tc>
          <w:tcPr>
            <w:tcW w:type="dxa" w:w="5112"/>
          </w:tcPr>
          <w:p>
            <w:r>
              <w:rPr>
                <w:sz w:val="16"/>
              </w:rPr>
              <w:t>`src/data/master_builder.py`</w:t>
            </w:r>
          </w:p>
        </w:tc>
        <w:tc>
          <w:tcPr>
            <w:tcW w:type="dxa" w:w="5112"/>
          </w:tcPr>
          <w:p>
            <w:r>
              <w:rPr>
                <w:sz w:val="16"/>
              </w:rPr>
              <w:t>Builds the master analytical dataset</w:t>
            </w:r>
          </w:p>
        </w:tc>
      </w:tr>
      <w:tr>
        <w:tc>
          <w:tcPr>
            <w:tcW w:type="dxa" w:w="5112"/>
          </w:tcPr>
          <w:p>
            <w:r>
              <w:rPr>
                <w:sz w:val="16"/>
              </w:rPr>
              <w:t>`src/modules/sector_classifier.py`</w:t>
            </w:r>
          </w:p>
        </w:tc>
        <w:tc>
          <w:tcPr>
            <w:tcW w:type="dxa" w:w="5112"/>
          </w:tcPr>
          <w:p>
            <w:r>
              <w:rPr>
                <w:sz w:val="16"/>
              </w:rPr>
              <w:t>Assigns sector and sub-sector</w:t>
            </w:r>
          </w:p>
        </w:tc>
      </w:tr>
      <w:tr>
        <w:tc>
          <w:tcPr>
            <w:tcW w:type="dxa" w:w="5112"/>
          </w:tcPr>
          <w:p>
            <w:r>
              <w:rPr>
                <w:sz w:val="16"/>
              </w:rPr>
              <w:t>`src/modules/financial_anomaly.py`</w:t>
            </w:r>
          </w:p>
        </w:tc>
        <w:tc>
          <w:tcPr>
            <w:tcW w:type="dxa" w:w="5112"/>
          </w:tcPr>
          <w:p>
            <w:r>
              <w:rPr>
                <w:sz w:val="16"/>
              </w:rPr>
              <w:t>Calculates financial risk</w:t>
            </w:r>
          </w:p>
        </w:tc>
      </w:tr>
      <w:tr>
        <w:tc>
          <w:tcPr>
            <w:tcW w:type="dxa" w:w="5112"/>
          </w:tcPr>
          <w:p>
            <w:r>
              <w:rPr>
                <w:sz w:val="16"/>
              </w:rPr>
              <w:t>`src/modules/duplicate_detection.py`</w:t>
            </w:r>
          </w:p>
        </w:tc>
        <w:tc>
          <w:tcPr>
            <w:tcW w:type="dxa" w:w="5112"/>
          </w:tcPr>
          <w:p>
            <w:r>
              <w:rPr>
                <w:sz w:val="16"/>
              </w:rPr>
              <w:t>Finds similar descriptions</w:t>
            </w:r>
          </w:p>
        </w:tc>
      </w:tr>
      <w:tr>
        <w:tc>
          <w:tcPr>
            <w:tcW w:type="dxa" w:w="5112"/>
          </w:tcPr>
          <w:p>
            <w:r>
              <w:rPr>
                <w:sz w:val="16"/>
              </w:rPr>
              <w:t>`src/modules/compliance_engine.py`</w:t>
            </w:r>
          </w:p>
        </w:tc>
        <w:tc>
          <w:tcPr>
            <w:tcW w:type="dxa" w:w="5112"/>
          </w:tcPr>
          <w:p>
            <w:r>
              <w:rPr>
                <w:sz w:val="16"/>
              </w:rPr>
              <w:t>Runs C01 to C12</w:t>
            </w:r>
          </w:p>
        </w:tc>
      </w:tr>
      <w:tr>
        <w:tc>
          <w:tcPr>
            <w:tcW w:type="dxa" w:w="5112"/>
          </w:tcPr>
          <w:p>
            <w:r>
              <w:rPr>
                <w:sz w:val="16"/>
              </w:rPr>
              <w:t>`src/risk/composite_risk_engine.py`</w:t>
            </w:r>
          </w:p>
        </w:tc>
        <w:tc>
          <w:tcPr>
            <w:tcW w:type="dxa" w:w="5112"/>
          </w:tcPr>
          <w:p>
            <w:r>
              <w:rPr>
                <w:sz w:val="16"/>
              </w:rPr>
              <w:t>Combines scores and creates reasons</w:t>
            </w:r>
          </w:p>
        </w:tc>
      </w:tr>
      <w:tr>
        <w:tc>
          <w:tcPr>
            <w:tcW w:type="dxa" w:w="5112"/>
          </w:tcPr>
          <w:p>
            <w:r>
              <w:rPr>
                <w:sz w:val="16"/>
              </w:rPr>
              <w:t>`src/backend/app.py`</w:t>
            </w:r>
          </w:p>
        </w:tc>
        <w:tc>
          <w:tcPr>
            <w:tcW w:type="dxa" w:w="5112"/>
          </w:tcPr>
          <w:p>
            <w:r>
              <w:rPr>
                <w:sz w:val="16"/>
              </w:rPr>
              <w:t>Serves dashboard API data</w:t>
            </w:r>
          </w:p>
        </w:tc>
      </w:tr>
      <w:tr>
        <w:tc>
          <w:tcPr>
            <w:tcW w:type="dxa" w:w="5112"/>
          </w:tcPr>
          <w:p>
            <w:r>
              <w:rPr>
                <w:sz w:val="16"/>
              </w:rPr>
              <w:t>`frontend/`</w:t>
            </w:r>
          </w:p>
        </w:tc>
        <w:tc>
          <w:tcPr>
            <w:tcW w:type="dxa" w:w="5112"/>
          </w:tcPr>
          <w:p>
            <w:r>
              <w:rPr>
                <w:sz w:val="16"/>
              </w:rPr>
              <w:t>Website screens and interactions</w:t>
            </w:r>
          </w:p>
        </w:tc>
      </w:tr>
      <w:tr>
        <w:tc>
          <w:tcPr>
            <w:tcW w:type="dxa" w:w="5112"/>
          </w:tcPr>
          <w:p>
            <w:r>
              <w:rPr>
                <w:sz w:val="16"/>
              </w:rPr>
              <w:t>`data/features/`</w:t>
            </w:r>
          </w:p>
        </w:tc>
        <w:tc>
          <w:tcPr>
            <w:tcW w:type="dxa" w:w="5112"/>
          </w:tcPr>
          <w:p>
            <w:r>
              <w:rPr>
                <w:sz w:val="16"/>
              </w:rPr>
              <w:t>Generated analytical outputs</w:t>
            </w:r>
          </w:p>
        </w:tc>
      </w:tr>
    </w:tbl>
    <w:p/>
    <w:p>
      <w:pPr>
        <w:pStyle w:val="Heading1"/>
      </w:pPr>
      <w:r>
        <w:t>13. Important Limits</w:t>
      </w:r>
    </w:p>
    <w:p>
      <w:pPr>
        <w:pStyle w:val="ListBullet"/>
      </w:pPr>
      <w:r>
        <w:t>A high score means unusual or incomplete information, not proven fraud.</w:t>
      </w:r>
    </w:p>
    <w:p>
      <w:pPr>
        <w:pStyle w:val="ListBullet"/>
      </w:pPr>
      <w:r>
        <w:t>Results depend on the quality of the source records.</w:t>
      </w:r>
    </w:p>
    <w:p>
      <w:pPr>
        <w:pStyle w:val="ListBullet"/>
      </w:pPr>
      <w:r>
        <w:t>Similarity requires human verification.</w:t>
      </w:r>
    </w:p>
    <w:p>
      <w:pPr>
        <w:pStyle w:val="ListBullet"/>
      </w:pPr>
      <w:r>
        <w:t>Images are optional and are never invented by the system.</w:t>
      </w:r>
    </w:p>
    <w:p>
      <w:pPr>
        <w:pStyle w:val="ListBullet"/>
      </w:pPr>
      <w:r>
        <w:t>Model confidence describes text matching, not the truth of a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