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7"/>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w:t>
            </w:r>
            <w:r>
              <w:rPr>
                <w:rFonts w:hint="eastAsia"/>
                <w:bCs/>
                <w:sz w:val="24"/>
                <w:lang w:val="en-US" w:eastAsia="zh-CN"/>
              </w:rPr>
              <w:t>检测</w:t>
            </w:r>
            <w:r>
              <w:rPr>
                <w:rFonts w:hint="default"/>
                <w:bCs/>
                <w:sz w:val="24"/>
              </w:rPr>
              <w:t>方法的研究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b/>
                <w:sz w:val="24"/>
              </w:rPr>
            </w:pPr>
            <w:r>
              <w:rPr>
                <w:rFonts w:hint="eastAsia"/>
                <w:b/>
                <w:sz w:val="24"/>
              </w:rPr>
              <w:t>1选题类型</w:t>
            </w:r>
          </w:p>
          <w:p>
            <w:pPr>
              <w:spacing w:line="312" w:lineRule="auto"/>
              <w:ind w:firstLine="480" w:firstLineChars="200"/>
              <w:rPr>
                <w:bCs/>
                <w:sz w:val="24"/>
              </w:rPr>
            </w:pPr>
            <w:r>
              <w:rPr>
                <w:rFonts w:hint="eastAsia"/>
                <w:bCs/>
                <w:sz w:val="24"/>
              </w:rPr>
              <w:t>本课题为应用开发研究</w:t>
            </w:r>
          </w:p>
          <w:p>
            <w:pPr>
              <w:spacing w:line="312" w:lineRule="auto"/>
              <w:rPr>
                <w:b/>
                <w:sz w:val="24"/>
              </w:rPr>
            </w:pPr>
            <w:r>
              <w:rPr>
                <w:rFonts w:hint="eastAsia"/>
                <w:b/>
                <w:sz w:val="24"/>
              </w:rPr>
              <w:t>2选题来源</w:t>
            </w:r>
          </w:p>
          <w:p>
            <w:pPr>
              <w:spacing w:line="312" w:lineRule="auto"/>
              <w:ind w:firstLine="480" w:firstLineChars="200"/>
              <w:rPr>
                <w:bCs/>
                <w:sz w:val="24"/>
              </w:rPr>
            </w:pPr>
            <w:r>
              <w:rPr>
                <w:rFonts w:hint="eastAsia"/>
                <w:bCs/>
                <w:sz w:val="24"/>
              </w:rPr>
              <w:t>本课题源自国家自然科学基金（项目编号：</w:t>
            </w:r>
            <w:r>
              <w:rPr>
                <w:bCs/>
                <w:sz w:val="24"/>
              </w:rPr>
              <w:t>92059103</w:t>
            </w:r>
            <w:r>
              <w:rPr>
                <w:rFonts w:hint="eastAsia"/>
                <w:bCs/>
                <w:sz w:val="24"/>
              </w:rPr>
              <w:t>）</w:t>
            </w:r>
          </w:p>
          <w:p>
            <w:pPr>
              <w:spacing w:line="312" w:lineRule="auto"/>
              <w:rPr>
                <w:b/>
                <w:sz w:val="24"/>
              </w:rPr>
            </w:pPr>
            <w:r>
              <w:rPr>
                <w:rFonts w:hint="eastAsia"/>
                <w:b/>
                <w:sz w:val="24"/>
              </w:rPr>
              <w:t>3研究意义</w:t>
            </w:r>
          </w:p>
          <w:p>
            <w:pPr>
              <w:spacing w:line="312" w:lineRule="auto"/>
              <w:ind w:firstLine="480" w:firstLineChars="200"/>
              <w:rPr>
                <w:rFonts w:ascii="宋体" w:hAnsi="宋体"/>
                <w:sz w:val="24"/>
              </w:rPr>
            </w:pPr>
            <w:r>
              <w:rPr>
                <w:rFonts w:ascii="宋体" w:hAnsi="宋体"/>
                <w:sz w:val="24"/>
              </w:rPr>
              <w:t>边缘算力网络（Edge Computing Network）是一种新型的计算网络架构，它将计算和数据存储功能从传统的集中式云计算数据中心移至接近数据源的边缘位置。</w:t>
            </w:r>
            <w:r>
              <w:rPr>
                <w:rFonts w:hint="eastAsia" w:ascii="宋体" w:hAnsi="宋体"/>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eastAsia" w:ascii="宋体" w:hAnsi="宋体"/>
                <w:sz w:val="24"/>
                <w:vertAlign w:val="superscript"/>
                <w:lang w:val="en-US" w:eastAsia="zh-CN"/>
              </w:rPr>
              <w:t>[1]</w:t>
            </w:r>
            <w:r>
              <w:rPr>
                <w:rFonts w:ascii="宋体" w:hAnsi="宋体"/>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在1986年第一次出现了网络拥塞问题，当时LBL和UCBeley之间通信状况突然恶化，吞吐量从32kbps下降到40bps</w:t>
            </w:r>
            <w:r>
              <w:rPr>
                <w:rFonts w:hint="eastAsia" w:ascii="宋体" w:hAnsi="宋体"/>
                <w:sz w:val="24"/>
                <w:vertAlign w:val="superscript"/>
                <w:lang w:val="en-US" w:eastAsia="zh-CN"/>
              </w:rPr>
              <w:t>[2]</w:t>
            </w:r>
            <w:r>
              <w:rPr>
                <w:rFonts w:hint="eastAsia" w:ascii="宋体" w:hAnsi="宋体"/>
                <w:sz w:val="24"/>
                <w:lang w:val="en-US" w:eastAsia="zh-CN"/>
              </w:rPr>
              <w:t>，在次之后，网络拥塞问题成为计算机网络中一个重要的研究问题，</w:t>
            </w:r>
            <w:r>
              <w:rPr>
                <w:rFonts w:hint="default" w:ascii="宋体" w:hAnsi="宋体" w:eastAsia="宋体"/>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这样做的好处在于数据和计算在边缘位置处理，减少了数据传输到云服务器和返回的时间，从而降低了延迟，以及支持大规模设备的连接，边缘计算网络中的边缘节点分布在物理空间的各个位置，每个边缘节点都具备一定的计算和存储能力，当大规模设备连接到这些边缘节点时，数据可以在离设备更近的地方进行处理。这种分布式的数据处理方式能够轻松应对大量设备的数据。</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边缘算力网络同时会有与其他网络不一样的网络拥塞问题，在边缘计算应用通常需要实时处理数据，例如，自动驾驶汽车需要即时响应周围环境的传感器数据以进行决策和控制以及在工业自动化中，机器需要根据传感器数据调整操作，当网络发生拥塞时，数据传输可能会收到阻碍，导致数据延迟，因此对网络拥塞的检测也需要较高的实时性，拥塞检测需要尽可能快速地响应和采取行动。</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边缘算力网络中的数据源种类繁多，这些设备包括传感器、智能设备（如智能家居设备、智能工厂设备等）、移动设备（如智能手机和平板电脑）等。这些数据源产生的数据可能具有不同的特点，例如数据量大小、传输频率、数据格式等。在网络拥塞检测中，考虑到这种多样性数据源的特点非常重要，因为不同类型的数据源可能会在网络中产生不同程度的压力。</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随着智能网卡DPU的产生，RDMA（Remote Direct Memory Access）技术被广泛用于提供高性能、低延迟、高吞吐量的数据传输，在边缘计算集群中，各个边缘节点需要快速、可靠地交换大量数据，例如传感器数据、图像数据等。RDMA技术可以确保节点之间的实时数据传输，提供低延迟和高吞吐量，用于加速数据处理和分析。RDMA技术降低了服务器侧的处理时延，提升了计算和存储的效率，也减少了CPU资源的消耗。它也可能带来一些挑战，其中网络拥塞是其中之一。</w:t>
            </w:r>
          </w:p>
          <w:p>
            <w:pPr>
              <w:spacing w:line="312" w:lineRule="auto"/>
              <w:ind w:firstLine="480" w:firstLineChars="200"/>
              <w:rPr>
                <w:rFonts w:hint="default" w:ascii="宋体" w:hAnsi="宋体"/>
                <w:sz w:val="24"/>
                <w:lang w:val="en-US" w:eastAsia="zh-CN"/>
              </w:rPr>
            </w:pP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7"/>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不 稳 走 待 输 下 网 洛 捆 衾 检 测 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7"/>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7"/>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w:t>
            </w:r>
            <w:r>
              <w:rPr>
                <w:rFonts w:hint="default"/>
                <w:color w:val="000000"/>
                <w:sz w:val="24"/>
              </w:rPr>
              <w:t>边缘算力网络拥塞控制检测算法的研究</w:t>
            </w:r>
            <w:r>
              <w:rPr>
                <w:rFonts w:hint="eastAsia"/>
                <w:color w:val="000000"/>
                <w:sz w:val="24"/>
                <w:lang w:eastAsia="zh-CN"/>
              </w:rPr>
              <w:t>，</w:t>
            </w:r>
            <w:r>
              <w:rPr>
                <w:color w:val="000000"/>
                <w:sz w:val="24"/>
              </w:rPr>
              <w:t>本课题的主要研究内容拟解决3个三个关键问题：（1）</w:t>
            </w:r>
            <w:r>
              <w:rPr>
                <w:rFonts w:hint="eastAsia"/>
                <w:color w:val="000000"/>
                <w:sz w:val="24"/>
                <w:lang w:val="en-US" w:eastAsia="zh-CN"/>
              </w:rPr>
              <w:t>在边缘算力网络中对拥塞检测更高实时性的要求</w:t>
            </w:r>
            <w:r>
              <w:rPr>
                <w:color w:val="000000"/>
                <w:sz w:val="24"/>
              </w:rPr>
              <w:t>；（2）</w:t>
            </w:r>
            <w:r>
              <w:rPr>
                <w:rFonts w:hint="eastAsia"/>
                <w:color w:val="000000"/>
                <w:sz w:val="24"/>
                <w:lang w:val="en-US" w:eastAsia="zh-CN"/>
              </w:rPr>
              <w:t>对于边缘算力网络中边缘网关会接收到多样化数据源不能准确识别网络拥塞迹象的问题；</w:t>
            </w:r>
            <w:bookmarkStart w:id="1" w:name="_GoBack"/>
            <w:bookmarkEnd w:id="1"/>
            <w:r>
              <w:rPr>
                <w:color w:val="000000"/>
                <w:sz w:val="24"/>
              </w:rPr>
              <w:t>（3）</w:t>
            </w:r>
            <w:r>
              <w:rPr>
                <w:rFonts w:hint="eastAsia"/>
                <w:color w:val="000000"/>
                <w:sz w:val="24"/>
                <w:lang w:val="en-US" w:eastAsia="zh-CN"/>
              </w:rPr>
              <w:t>无损网络在边缘算力网络中的网络拥塞检测问题</w:t>
            </w:r>
            <w:r>
              <w:rPr>
                <w:color w:val="000000"/>
                <w:sz w:val="24"/>
              </w:rPr>
              <w:t>。</w:t>
            </w:r>
          </w:p>
          <w:p>
            <w:pPr>
              <w:spacing w:line="312" w:lineRule="auto"/>
              <w:ind w:firstLine="480" w:firstLineChars="200"/>
              <w:rPr>
                <w:sz w:val="24"/>
              </w:rPr>
            </w:pPr>
            <w:r>
              <w:rPr>
                <w:sz w:val="24"/>
              </w:rPr>
              <w:t>1）多任务学习中任务不平衡的算法研究</w:t>
            </w:r>
          </w:p>
          <w:p>
            <w:pPr>
              <w:spacing w:line="312" w:lineRule="auto"/>
              <w:ind w:firstLine="480" w:firstLineChars="200"/>
              <w:rPr>
                <w:color w:val="000000"/>
                <w:sz w:val="24"/>
              </w:rPr>
            </w:pPr>
            <w:r>
              <w:rPr>
                <w:color w:val="000000"/>
                <w:sz w:val="24"/>
              </w:rPr>
              <w:t>多任务学习是机器学习的一种范例，在许多应用中都取得了成功。然而，在医学影像多任务分析中，不同任务的Loss量级不同，可能会出现Loss较大的任务由于梯度也较大从而出现任务主导的现象，阻碍模型的训练，这种阻碍其实体现在了反向传播时参数的梯度不平衡。因此，如何改善多任务学习的损失来平衡任务和有效学习特定任务的特定特征是一个研究的热点问题。</w:t>
            </w:r>
          </w:p>
          <w:p>
            <w:pPr>
              <w:spacing w:line="312" w:lineRule="auto"/>
              <w:ind w:firstLine="480" w:firstLineChars="200"/>
              <w:rPr>
                <w:color w:val="000000"/>
                <w:sz w:val="24"/>
              </w:rPr>
            </w:pPr>
            <w:r>
              <w:rPr>
                <w:color w:val="000000"/>
                <w:sz w:val="24"/>
              </w:rPr>
              <w:t>本课题设计了一个端对端的单一共享网络，为了能够平衡每个任务之间的Loss权重，减缓任务之间梯度冲突，充分学习每个特征对于特定任务的权重。针对具有挑战性的分割任务设计了一个混合损失函数，利用不确定性权重的方法自适应地调整分割和分类损失函数。此外，为了能够从主网络中获取每个子任务特定的特征，采用注意力机制的方法设计了一种子任务自适应辨别特征权重的任务感知注意力引导特征学习，自适应的计算共享特征中每个特征对每个子任务的重要性，使得模型更高效。</w:t>
            </w:r>
          </w:p>
          <w:p>
            <w:pPr>
              <w:spacing w:line="312" w:lineRule="auto"/>
              <w:ind w:firstLine="480" w:firstLineChars="200"/>
              <w:rPr>
                <w:sz w:val="24"/>
              </w:rPr>
            </w:pPr>
            <w:r>
              <w:rPr>
                <w:sz w:val="24"/>
              </w:rPr>
              <w:t>2）多模态MRI影像信息融合的多任务算法研究</w:t>
            </w:r>
          </w:p>
          <w:p>
            <w:pPr>
              <w:spacing w:line="312" w:lineRule="auto"/>
              <w:ind w:firstLine="480" w:firstLineChars="200"/>
              <w:rPr>
                <w:color w:val="000000"/>
                <w:sz w:val="24"/>
              </w:rPr>
            </w:pPr>
            <w:r>
              <w:rPr>
                <w:color w:val="000000"/>
                <w:sz w:val="24"/>
              </w:rPr>
              <w:t>不同仪器，序列导致的数据间中心差异大。多模态特征间的关系多样，现今特征融合的方法无法有效去除多模态冗余的信息。单模态特征的中心间差异及鲁棒性问题加剧这一现象。如何充分利用多模态信息是亟待解决的问题。进行多模态融合，寻求连接医学图像的中间变量与临床信息间的关系，能够进一步补充肿瘤分割和分类相关的信息。</w:t>
            </w:r>
          </w:p>
          <w:p>
            <w:pPr>
              <w:spacing w:line="312" w:lineRule="auto"/>
              <w:ind w:firstLine="480" w:firstLineChars="200"/>
              <w:rPr>
                <w:color w:val="000000"/>
                <w:sz w:val="24"/>
              </w:rPr>
            </w:pPr>
            <w:r>
              <w:rPr>
                <w:color w:val="000000"/>
                <w:sz w:val="24"/>
              </w:rPr>
              <w:t>本课题首先将每个输入模态由单独的编码器编码以获得单独的模态特征表示，多模态MRI影像融合属于同质的多模态融合问题，本课题拟使用一种交换不同模态特征图来实现多模态信息的融合，通过把每个模态中每个阶段不太重要的特定区域特征图交换成其他模态相对应区域中重要的特征图，在没有增加参数量的情况下，既保留了模态内重要的信息，又有效的进行了多模态特征的融合。在分类任务中，为了能够更好的捕捉多模态医学图像的中间变量与临床信息间的关系，采用视觉问答领域的双线性池化融合网络深层的语义信息。</w:t>
            </w:r>
          </w:p>
          <w:p>
            <w:pPr>
              <w:spacing w:line="312" w:lineRule="auto"/>
              <w:ind w:firstLine="480" w:firstLineChars="200"/>
              <w:rPr>
                <w:sz w:val="24"/>
              </w:rPr>
            </w:pPr>
            <w:r>
              <w:rPr>
                <w:sz w:val="24"/>
              </w:rPr>
              <w:t>3）多任务学习中肿瘤分割的类内差异性和边界模糊的算法研究</w:t>
            </w:r>
          </w:p>
          <w:p>
            <w:pPr>
              <w:spacing w:line="312" w:lineRule="auto"/>
              <w:ind w:firstLine="480" w:firstLineChars="200"/>
              <w:rPr>
                <w:color w:val="000000"/>
                <w:sz w:val="24"/>
              </w:rPr>
            </w:pPr>
            <w:r>
              <w:rPr>
                <w:color w:val="000000"/>
                <w:sz w:val="24"/>
              </w:rPr>
              <w:t>在肿瘤分割中，不同患者肿瘤的大小、形态、纹理导致的类内差异性和肿瘤异质性导致的边界模糊性是肿瘤分割中的常见问题。如果我们只考虑孤立的体素，很难实现精确的密集体素分割，因为不同类的体素可能共享相似的强度值或特征表示。为了解决上述问题，我们旨在通过探索肿瘤细胞特征的相互作用来学习肿瘤细胞与其周围环境之间的关系信息。对于低对比度，模型需要有效利用肿瘤的特征来区分肿瘤与其它背景之间的差异。</w:t>
            </w:r>
          </w:p>
          <w:p>
            <w:pPr>
              <w:spacing w:line="312" w:lineRule="auto"/>
              <w:ind w:firstLine="480" w:firstLineChars="200"/>
              <w:rPr>
                <w:color w:val="000000"/>
                <w:sz w:val="24"/>
              </w:rPr>
            </w:pPr>
            <w:r>
              <w:rPr>
                <w:color w:val="000000"/>
                <w:sz w:val="24"/>
              </w:rPr>
              <w:t>我们预计提出一种上下文感知网络，该网络利用多尺度特征及尺度感知注意力学习“从粗到精”的特征，以在MRI图像中实现精确的密集体素肿瘤分割。具体而言，我们预计采用3D预训练ResNet-34模型提取不同分辨率的“粗”特征，通过卷积和空洞卷积的无缝组合来获得全局信息，通过注意力机制将卷积和不同尺度的特征进行打分从而精细化特征，利用全局上下文注意力模块使有效信息从低分辨率特征传播到高分辨率特征图。此外，引入边界细化模块以细化肿瘤的边界。</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14003" cy="1950345"/>
                          </a:xfrm>
                          <a:prstGeom prst="rect">
                            <a:avLst/>
                          </a:prstGeom>
                        </pic:spPr>
                      </pic:pic>
                    </a:graphicData>
                  </a:graphic>
                </wp:inline>
              </w:drawing>
            </w:r>
          </w:p>
          <w:p>
            <w:pPr>
              <w:spacing w:line="312" w:lineRule="auto"/>
              <w:jc w:val="center"/>
              <w:rPr>
                <w:rFonts w:eastAsia="黑体"/>
                <w:color w:val="000000"/>
                <w:szCs w:val="21"/>
              </w:rPr>
            </w:pPr>
            <w:r>
              <w:rPr>
                <w:rFonts w:eastAsia="黑体"/>
                <w:color w:val="000000"/>
                <w:szCs w:val="21"/>
              </w:rPr>
              <w:t>图2 技术路线</w:t>
            </w:r>
          </w:p>
          <w:p>
            <w:pPr>
              <w:spacing w:line="312" w:lineRule="auto"/>
              <w:rPr>
                <w:b/>
                <w:bCs/>
                <w:sz w:val="24"/>
              </w:rPr>
            </w:pPr>
            <w:r>
              <w:rPr>
                <w:rFonts w:hint="eastAsia"/>
                <w:b/>
                <w:bCs/>
                <w:sz w:val="24"/>
              </w:rPr>
              <w:t>2</w:t>
            </w:r>
            <w:r>
              <w:rPr>
                <w:b/>
                <w:bCs/>
                <w:sz w:val="24"/>
              </w:rPr>
              <w:t>.1</w:t>
            </w:r>
            <w:r>
              <w:rPr>
                <w:rFonts w:hint="eastAsia"/>
                <w:b/>
                <w:bCs/>
                <w:sz w:val="24"/>
              </w:rPr>
              <w:t>数据采集</w:t>
            </w:r>
          </w:p>
          <w:p>
            <w:pPr>
              <w:spacing w:line="312" w:lineRule="auto"/>
              <w:ind w:firstLine="480" w:firstLineChars="200"/>
              <w:rPr>
                <w:color w:val="000000"/>
                <w:sz w:val="24"/>
              </w:rPr>
            </w:pPr>
            <w:r>
              <w:rPr>
                <w:rFonts w:hint="eastAsia"/>
                <w:color w:val="000000"/>
                <w:sz w:val="24"/>
              </w:rPr>
              <w:t>1）内部数据集</w:t>
            </w:r>
          </w:p>
          <w:p>
            <w:pPr>
              <w:spacing w:line="312" w:lineRule="auto"/>
              <w:ind w:firstLine="480" w:firstLineChars="200"/>
              <w:rPr>
                <w:color w:val="000000"/>
                <w:sz w:val="24"/>
              </w:rPr>
            </w:pPr>
            <w:r>
              <w:rPr>
                <w:rFonts w:hint="eastAsia"/>
                <w:color w:val="000000"/>
                <w:sz w:val="24"/>
              </w:rPr>
              <w:t>经医院伦理委员会批准，并遵循了世界医学协会（WMA）的伦理准则和赫尔辛基宣言（IRB编号201911021）。对2012年1月至2021年9月之间，在陕西省人民医院就诊并且有病理资料的547例胶质瘤患者的术前MRI资料进行回顾性分析。纳入标准为：（1）患者均为首发，且之前未接受治疗；（2）所有患者同时具备术前T1WI、T2WI和T1</w:t>
            </w:r>
            <w:r>
              <w:rPr>
                <w:color w:val="000000"/>
                <w:sz w:val="24"/>
              </w:rPr>
              <w:t>WI</w:t>
            </w:r>
            <w:r>
              <w:rPr>
                <w:rFonts w:hint="eastAsia"/>
                <w:color w:val="000000"/>
                <w:sz w:val="24"/>
              </w:rPr>
              <w:t>对比增强成像；（3）所有纳入的患者都有病理资料且都来自该院的病理科，确诊为GBM；（4）所有患者都做了免疫组化分析，均有IDH信息。排除标准为：（1）图像质量欠佳，影响测量结果；（2）图像序列不全；（3）病理资料不全；（4）继发或者复发病例；（5）患者在做MRI检查之前做过治疗。最终，共纳入336名胶质瘤患者，其中IDH野生型206例，121例男性，85例女性，年龄49.17±14.28岁（均值±标准差）；IDH突变型130例，78例男性，52例女性，年龄42.25±10.85岁（均值±标准差）。</w:t>
            </w:r>
          </w:p>
          <w:p>
            <w:pPr>
              <w:spacing w:line="312" w:lineRule="auto"/>
              <w:ind w:firstLine="480" w:firstLineChars="200"/>
              <w:rPr>
                <w:color w:val="000000"/>
                <w:sz w:val="24"/>
              </w:rPr>
            </w:pPr>
            <w:r>
              <w:rPr>
                <w:rFonts w:hint="eastAsia"/>
                <w:color w:val="000000"/>
                <w:sz w:val="24"/>
              </w:rPr>
              <w:t>2）外部数据集</w:t>
            </w:r>
          </w:p>
          <w:p>
            <w:pPr>
              <w:spacing w:line="312" w:lineRule="auto"/>
              <w:ind w:firstLine="480" w:firstLineChars="200"/>
              <w:rPr>
                <w:color w:val="000000"/>
                <w:sz w:val="24"/>
              </w:rPr>
            </w:pPr>
            <w:r>
              <w:rPr>
                <w:rFonts w:hint="eastAsia"/>
                <w:color w:val="000000"/>
                <w:sz w:val="24"/>
              </w:rPr>
              <w:t>胶质瘤患者的多模态MRI图像源自多模态脑肿瘤分割（BraTS202</w:t>
            </w:r>
            <w:r>
              <w:rPr>
                <w:color w:val="000000"/>
                <w:sz w:val="24"/>
              </w:rPr>
              <w:t>1</w:t>
            </w:r>
            <w:r>
              <w:rPr>
                <w:rFonts w:hint="eastAsia"/>
                <w:color w:val="000000"/>
                <w:sz w:val="24"/>
              </w:rPr>
              <w:t>）挑战大赛。BraTS202</w:t>
            </w:r>
            <w:r>
              <w:rPr>
                <w:color w:val="000000"/>
                <w:sz w:val="24"/>
              </w:rPr>
              <w:t>1</w:t>
            </w:r>
            <w:r>
              <w:rPr>
                <w:rFonts w:hint="eastAsia"/>
                <w:color w:val="000000"/>
                <w:sz w:val="24"/>
              </w:rPr>
              <w:t>的部分数据属于癌症成像档案（TCIA），可从T</w:t>
            </w:r>
            <w:r>
              <w:rPr>
                <w:color w:val="000000"/>
                <w:sz w:val="24"/>
              </w:rPr>
              <w:t>CIA</w:t>
            </w:r>
            <w:r>
              <w:rPr>
                <w:rFonts w:hint="eastAsia"/>
                <w:color w:val="000000"/>
                <w:sz w:val="24"/>
              </w:rPr>
              <w:t>的公共存储库中获取。基因组信息来自癌症基因组图谱（TCGA）。本研究筛选了IDH突变状态、T1W</w:t>
            </w:r>
            <w:r>
              <w:rPr>
                <w:color w:val="000000"/>
                <w:sz w:val="24"/>
              </w:rPr>
              <w:t>I</w:t>
            </w:r>
            <w:r>
              <w:rPr>
                <w:rFonts w:hint="eastAsia"/>
                <w:color w:val="000000"/>
                <w:sz w:val="24"/>
              </w:rPr>
              <w:t>、T1</w:t>
            </w:r>
            <w:r>
              <w:rPr>
                <w:color w:val="000000"/>
                <w:sz w:val="24"/>
              </w:rPr>
              <w:t>WI</w:t>
            </w:r>
            <w:r>
              <w:rPr>
                <w:rFonts w:hint="eastAsia"/>
                <w:color w:val="000000"/>
                <w:sz w:val="24"/>
              </w:rPr>
              <w:t>对比增强成像和T2</w:t>
            </w:r>
            <w:r>
              <w:rPr>
                <w:color w:val="000000"/>
                <w:sz w:val="24"/>
              </w:rPr>
              <w:t>WI</w:t>
            </w:r>
            <w:r>
              <w:rPr>
                <w:rFonts w:hint="eastAsia"/>
                <w:color w:val="000000"/>
                <w:sz w:val="24"/>
              </w:rPr>
              <w:t>成像模式的可用性。来自BraTS202</w:t>
            </w:r>
            <w:r>
              <w:rPr>
                <w:color w:val="000000"/>
                <w:sz w:val="24"/>
              </w:rPr>
              <w:t>1</w:t>
            </w:r>
            <w:r>
              <w:rPr>
                <w:rFonts w:hint="eastAsia"/>
                <w:color w:val="000000"/>
                <w:sz w:val="24"/>
              </w:rPr>
              <w:t>训练数据集的148名具有IDH突变状态的受试者用作验证数据，其中IDH野生型</w:t>
            </w:r>
            <w:r>
              <w:rPr>
                <w:color w:val="000000"/>
                <w:sz w:val="24"/>
              </w:rPr>
              <w:t>91</w:t>
            </w:r>
            <w:r>
              <w:rPr>
                <w:rFonts w:hint="eastAsia"/>
                <w:color w:val="000000"/>
                <w:sz w:val="24"/>
              </w:rPr>
              <w:t>例，IDH突变型</w:t>
            </w:r>
            <w:r>
              <w:rPr>
                <w:color w:val="000000"/>
                <w:sz w:val="24"/>
              </w:rPr>
              <w:t>57</w:t>
            </w:r>
            <w:r>
              <w:rPr>
                <w:rFonts w:hint="eastAsia"/>
                <w:color w:val="000000"/>
                <w:sz w:val="24"/>
              </w:rPr>
              <w:t>例。</w:t>
            </w:r>
          </w:p>
          <w:p>
            <w:pPr>
              <w:spacing w:line="312" w:lineRule="auto"/>
              <w:rPr>
                <w:b/>
                <w:bCs/>
                <w:sz w:val="24"/>
              </w:rPr>
            </w:pPr>
            <w:r>
              <w:rPr>
                <w:b/>
                <w:bCs/>
                <w:sz w:val="24"/>
              </w:rPr>
              <w:t>2.2</w:t>
            </w:r>
            <w:r>
              <w:rPr>
                <w:rFonts w:hint="eastAsia"/>
                <w:b/>
                <w:bCs/>
                <w:sz w:val="24"/>
              </w:rPr>
              <w:t>内部数据集影像扫描参数</w:t>
            </w:r>
          </w:p>
          <w:p>
            <w:pPr>
              <w:spacing w:line="312" w:lineRule="auto"/>
              <w:ind w:firstLine="480" w:firstLineChars="200"/>
              <w:rPr>
                <w:color w:val="000000"/>
                <w:sz w:val="24"/>
              </w:rPr>
            </w:pPr>
            <w:r>
              <w:rPr>
                <w:rFonts w:hint="eastAsia"/>
                <w:color w:val="000000"/>
                <w:sz w:val="24"/>
              </w:rPr>
              <w:t>入组病例都接受了T1WI、T2WI平扫及T1WI增强扫描检查。扫描参数：T1WI：TR=1750ms、TE=25.2ms；T2WI：TR=4080ms、TE=91ms，层厚=5mm，矩阵=512×512。</w:t>
            </w:r>
            <w:r>
              <w:rPr>
                <w:color w:val="000000"/>
                <w:sz w:val="24"/>
              </w:rPr>
              <w:t>增强T1WI扫描参数为：TR=1750ms，TE=20.7ms，FOV=24×21.6cm，矩阵=320×256，层厚=5mm，静脉注射Gd-DTPA，剂量为0.1mmol/kg</w:t>
            </w:r>
            <w:r>
              <w:rPr>
                <w:rFonts w:hint="eastAsia"/>
                <w:color w:val="000000"/>
                <w:sz w:val="24"/>
              </w:rPr>
              <w:t>，</w:t>
            </w:r>
            <w:r>
              <w:rPr>
                <w:color w:val="000000"/>
                <w:sz w:val="24"/>
              </w:rPr>
              <w:t>注药后立即行T1WI增强扫描。</w:t>
            </w:r>
          </w:p>
          <w:p>
            <w:pPr>
              <w:spacing w:line="312" w:lineRule="auto"/>
              <w:rPr>
                <w:b/>
                <w:bCs/>
                <w:sz w:val="24"/>
              </w:rPr>
            </w:pPr>
            <w:r>
              <w:rPr>
                <w:rFonts w:hint="eastAsia"/>
                <w:b/>
                <w:bCs/>
                <w:sz w:val="24"/>
              </w:rPr>
              <w:t>2</w:t>
            </w:r>
            <w:r>
              <w:rPr>
                <w:b/>
                <w:bCs/>
                <w:sz w:val="24"/>
              </w:rPr>
              <w:t>.3</w:t>
            </w:r>
            <w:r>
              <w:rPr>
                <w:rFonts w:hint="eastAsia"/>
                <w:b/>
                <w:bCs/>
                <w:sz w:val="24"/>
              </w:rPr>
              <w:t>肿瘤勾画和图像预处理</w:t>
            </w:r>
          </w:p>
          <w:p>
            <w:pPr>
              <w:spacing w:line="312" w:lineRule="auto"/>
              <w:ind w:firstLine="480" w:firstLineChars="200"/>
              <w:rPr>
                <w:color w:val="000000"/>
                <w:sz w:val="24"/>
              </w:rPr>
            </w:pPr>
            <w:r>
              <w:rPr>
                <w:rFonts w:hint="eastAsia"/>
                <w:color w:val="000000"/>
                <w:sz w:val="24"/>
              </w:rPr>
              <w:t>1）内部数据集</w:t>
            </w:r>
          </w:p>
          <w:p>
            <w:pPr>
              <w:spacing w:line="312" w:lineRule="auto"/>
              <w:ind w:firstLine="480" w:firstLineChars="200"/>
              <w:rPr>
                <w:color w:val="000000"/>
                <w:sz w:val="24"/>
              </w:rPr>
            </w:pPr>
            <w:r>
              <w:rPr>
                <w:rFonts w:hint="eastAsia"/>
                <w:color w:val="000000"/>
                <w:sz w:val="24"/>
              </w:rPr>
              <w:t>T1WI、T2WI和T1WI增强图像以DICOM格式导入医学图像工具包ITK</w:t>
            </w:r>
            <w:r>
              <w:rPr>
                <w:color w:val="000000"/>
                <w:sz w:val="24"/>
              </w:rPr>
              <w:t>-</w:t>
            </w:r>
            <w:r>
              <w:rPr>
                <w:rFonts w:hint="eastAsia"/>
                <w:color w:val="000000"/>
                <w:sz w:val="24"/>
              </w:rPr>
              <w:t>SNAP（version</w:t>
            </w:r>
            <w:r>
              <w:rPr>
                <w:color w:val="000000"/>
                <w:sz w:val="24"/>
              </w:rPr>
              <w:t xml:space="preserve"> </w:t>
            </w:r>
            <w:r>
              <w:rPr>
                <w:rFonts w:hint="eastAsia"/>
                <w:color w:val="000000"/>
                <w:sz w:val="24"/>
              </w:rPr>
              <w:t>3.</w:t>
            </w:r>
            <w:r>
              <w:rPr>
                <w:color w:val="000000"/>
                <w:sz w:val="24"/>
              </w:rPr>
              <w:t>6</w:t>
            </w:r>
            <w:r>
              <w:rPr>
                <w:rFonts w:hint="eastAsia"/>
                <w:color w:val="000000"/>
                <w:sz w:val="24"/>
              </w:rPr>
              <w:t>.0）中进行肿瘤分割，手动勾画ROI。在轴向T</w:t>
            </w:r>
            <w:r>
              <w:rPr>
                <w:color w:val="000000"/>
                <w:sz w:val="24"/>
              </w:rPr>
              <w:t>1</w:t>
            </w:r>
            <w:r>
              <w:rPr>
                <w:rFonts w:hint="eastAsia"/>
                <w:color w:val="000000"/>
                <w:sz w:val="24"/>
              </w:rPr>
              <w:t>WI图像上的每个层面勾画ROI，范围覆盖整个肿瘤（包含病灶内的坏死、囊变区）及其瘤周水肿区域。所有病灶的手动分割均由放射科一名具有中级职称的神经影像组医生进行，最后再由放射科一名有20年工作经验的神经影像专科的高级职称医生对勾画结果进行检验。两人均在不知道临床和病理分型的情况下进行肿瘤分割和验证。</w:t>
            </w:r>
          </w:p>
          <w:p>
            <w:pPr>
              <w:spacing w:line="312" w:lineRule="auto"/>
              <w:ind w:firstLine="480" w:firstLineChars="200"/>
              <w:rPr>
                <w:color w:val="000000"/>
                <w:sz w:val="24"/>
              </w:rPr>
            </w:pPr>
            <w:r>
              <w:rPr>
                <w:rFonts w:hint="eastAsia"/>
                <w:color w:val="000000"/>
                <w:sz w:val="24"/>
              </w:rPr>
              <w:t>应用了几种图像处理来确保模型的鲁棒性。首先，使用N4ITK方法校正B1场不均匀性效应，可从python第三方处理包Simple</w:t>
            </w:r>
            <w:r>
              <w:rPr>
                <w:color w:val="000000"/>
                <w:sz w:val="24"/>
              </w:rPr>
              <w:t>-ITK</w:t>
            </w:r>
            <w:r>
              <w:rPr>
                <w:rFonts w:hint="eastAsia"/>
                <w:color w:val="000000"/>
                <w:sz w:val="24"/>
              </w:rPr>
              <w:t>中获得。将所有图像重新采样到</w:t>
            </w:r>
            <w:r>
              <w:rPr>
                <w:color w:val="000000"/>
                <w:sz w:val="24"/>
              </w:rPr>
              <w:t>1</w:t>
            </w:r>
            <w:r>
              <w:rPr>
                <w:rFonts w:hint="eastAsia"/>
                <w:color w:val="000000"/>
                <w:sz w:val="24"/>
              </w:rPr>
              <w:t>×</w:t>
            </w:r>
            <w:r>
              <w:rPr>
                <w:color w:val="000000"/>
                <w:sz w:val="24"/>
              </w:rPr>
              <w:t>1</w:t>
            </w:r>
            <w:r>
              <w:rPr>
                <w:rFonts w:hint="eastAsia"/>
                <w:color w:val="000000"/>
                <w:sz w:val="24"/>
              </w:rPr>
              <w:t>×</w:t>
            </w:r>
            <w:r>
              <w:rPr>
                <w:color w:val="000000"/>
                <w:sz w:val="24"/>
              </w:rPr>
              <w:t>1</w:t>
            </w:r>
            <w:r>
              <w:rPr>
                <w:rFonts w:hint="eastAsia"/>
                <w:color w:val="000000"/>
                <w:sz w:val="24"/>
              </w:rPr>
              <w:t>mm</w:t>
            </w:r>
            <w:r>
              <w:rPr>
                <w:color w:val="000000"/>
                <w:sz w:val="24"/>
                <w:vertAlign w:val="superscript"/>
              </w:rPr>
              <w:t>3</w:t>
            </w:r>
            <w:r>
              <w:rPr>
                <w:rFonts w:hint="eastAsia"/>
                <w:color w:val="000000"/>
                <w:sz w:val="24"/>
              </w:rPr>
              <w:t>的均匀空间分辨率从而使医疗图像中大小不同的体素归一化到相同的大小。使用牛津大学维康综合神经影像中心的公开医学处理包</w:t>
            </w:r>
            <w:r>
              <w:rPr>
                <w:color w:val="000000"/>
                <w:sz w:val="24"/>
              </w:rPr>
              <w:t>SPM12</w:t>
            </w:r>
            <w:r>
              <w:rPr>
                <w:rFonts w:hint="eastAsia"/>
                <w:color w:val="000000"/>
                <w:sz w:val="24"/>
              </w:rPr>
              <w:t>对M</w:t>
            </w:r>
            <w:r>
              <w:rPr>
                <w:color w:val="000000"/>
                <w:sz w:val="24"/>
              </w:rPr>
              <w:t>RI</w:t>
            </w:r>
            <w:r>
              <w:rPr>
                <w:rFonts w:hint="eastAsia"/>
                <w:color w:val="000000"/>
                <w:sz w:val="24"/>
              </w:rPr>
              <w:t>图像进行线性图像配准、颅骨剥离。由于T</w:t>
            </w:r>
            <w:r>
              <w:rPr>
                <w:color w:val="000000"/>
                <w:sz w:val="24"/>
                <w:vertAlign w:val="subscript"/>
              </w:rPr>
              <w:t>1</w:t>
            </w:r>
            <w:r>
              <w:rPr>
                <w:color w:val="000000"/>
                <w:sz w:val="24"/>
              </w:rPr>
              <w:t>WI</w:t>
            </w:r>
            <w:r>
              <w:rPr>
                <w:rFonts w:hint="eastAsia"/>
                <w:color w:val="000000"/>
                <w:sz w:val="24"/>
              </w:rPr>
              <w:t>影像观察解剖结构比较好，图像配准是T</w:t>
            </w:r>
            <w:r>
              <w:rPr>
                <w:color w:val="000000"/>
                <w:sz w:val="24"/>
                <w:vertAlign w:val="subscript"/>
              </w:rPr>
              <w:t>1</w:t>
            </w:r>
            <w:r>
              <w:rPr>
                <w:color w:val="000000"/>
                <w:sz w:val="24"/>
              </w:rPr>
              <w:t>WI</w:t>
            </w:r>
            <w:r>
              <w:rPr>
                <w:rFonts w:hint="eastAsia"/>
                <w:color w:val="000000"/>
                <w:sz w:val="24"/>
              </w:rPr>
              <w:t>影像为模板。</w:t>
            </w:r>
          </w:p>
          <w:p>
            <w:pPr>
              <w:spacing w:line="312" w:lineRule="auto"/>
              <w:ind w:firstLine="480" w:firstLineChars="200"/>
              <w:rPr>
                <w:color w:val="000000"/>
                <w:sz w:val="24"/>
              </w:rPr>
            </w:pPr>
            <w:r>
              <w:rPr>
                <w:rFonts w:hint="eastAsia"/>
                <w:color w:val="000000"/>
                <w:sz w:val="24"/>
              </w:rPr>
              <w:t>2）外部数据集</w:t>
            </w:r>
          </w:p>
          <w:p>
            <w:pPr>
              <w:spacing w:line="312" w:lineRule="auto"/>
              <w:ind w:firstLine="480" w:firstLineChars="200"/>
              <w:rPr>
                <w:color w:val="000000"/>
                <w:sz w:val="24"/>
              </w:rPr>
            </w:pPr>
            <w:r>
              <w:rPr>
                <w:rFonts w:hint="eastAsia"/>
                <w:color w:val="000000"/>
                <w:sz w:val="24"/>
              </w:rPr>
              <w:t>为了减少数据域之间的差异性，公开数据集的所有MRI图像都进行过预处理，包括重新定位到左后上坐标系，与T1解剖模板共同配准，重新采样到1mm各向同性图像分辨率，以及颅骨剥离。</w:t>
            </w:r>
          </w:p>
          <w:p>
            <w:pPr>
              <w:spacing w:line="312" w:lineRule="auto"/>
              <w:rPr>
                <w:b/>
                <w:bCs/>
                <w:sz w:val="24"/>
              </w:rPr>
            </w:pPr>
            <w:r>
              <w:rPr>
                <w:rFonts w:hint="eastAsia"/>
                <w:b/>
                <w:bCs/>
                <w:sz w:val="24"/>
              </w:rPr>
              <w:t>2</w:t>
            </w:r>
            <w:r>
              <w:rPr>
                <w:b/>
                <w:bCs/>
                <w:sz w:val="24"/>
              </w:rPr>
              <w:t>.4</w:t>
            </w:r>
            <w:r>
              <w:rPr>
                <w:rFonts w:hint="eastAsia"/>
                <w:b/>
                <w:bCs/>
                <w:sz w:val="24"/>
              </w:rPr>
              <w:t>多任务学习中任务不平衡算法研究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sz w:val="24"/>
              </w:rPr>
            </w:pPr>
            <w:r>
              <w:rPr>
                <w:rFonts w:hint="eastAsia"/>
                <w:sz w:val="24"/>
              </w:rPr>
              <w:t>针对目前医学影像多任务学习中分割和分类任务不平衡的问题，本课题提出了3</w:t>
            </w:r>
            <w:r>
              <w:rPr>
                <w:sz w:val="24"/>
              </w:rPr>
              <w:t>D</w:t>
            </w:r>
            <w:r>
              <w:rPr>
                <w:rFonts w:hint="eastAsia"/>
                <w:sz w:val="24"/>
              </w:rPr>
              <w:t>注意力引导多任务学习网络（</w:t>
            </w:r>
            <w:r>
              <w:rPr>
                <w:sz w:val="24"/>
              </w:rPr>
              <w:t xml:space="preserve">Attention-guided multi-task </w:t>
            </w:r>
            <w:r>
              <w:rPr>
                <w:rFonts w:hint="eastAsia"/>
                <w:sz w:val="24"/>
              </w:rPr>
              <w:t>net，A</w:t>
            </w:r>
            <w:r>
              <w:rPr>
                <w:sz w:val="24"/>
              </w:rPr>
              <w:t>MTN</w:t>
            </w:r>
            <w:r>
              <w:rPr>
                <w:rFonts w:hint="eastAsia"/>
                <w:sz w:val="24"/>
              </w:rPr>
              <w:t>），我们称之为</w:t>
            </w:r>
            <w:r>
              <w:rPr>
                <w:sz w:val="24"/>
              </w:rPr>
              <w:t>AMTN</w:t>
            </w:r>
            <w:r>
              <w:rPr>
                <w:rFonts w:hint="eastAsia"/>
                <w:sz w:val="24"/>
              </w:rPr>
              <w:t>网络，并将网络在胶质瘤分割和I</w:t>
            </w:r>
            <w:r>
              <w:rPr>
                <w:sz w:val="24"/>
              </w:rPr>
              <w:t>DH</w:t>
            </w:r>
            <w:r>
              <w:rPr>
                <w:rFonts w:hint="eastAsia"/>
                <w:sz w:val="24"/>
              </w:rPr>
              <w:t>分类任务上首先进行训练和验证。图3显示了A</w:t>
            </w:r>
            <w:r>
              <w:rPr>
                <w:sz w:val="24"/>
              </w:rPr>
              <w:t>MTN</w:t>
            </w:r>
            <w:r>
              <w:rPr>
                <w:rFonts w:hint="eastAsia"/>
                <w:sz w:val="24"/>
              </w:rPr>
              <w:t>的网络结构，所提出的网络将三个模态的M</w:t>
            </w:r>
            <w:r>
              <w:rPr>
                <w:sz w:val="24"/>
              </w:rPr>
              <w:t>RI</w:t>
            </w:r>
            <w:r>
              <w:rPr>
                <w:rFonts w:hint="eastAsia"/>
                <w:sz w:val="24"/>
              </w:rPr>
              <w:t>堆叠为3通道作为网络的输入，我们使用卷积神经网络来处理任务相关性和异质性，在网络的特征提取阶段，将ResNet-</w:t>
            </w:r>
            <w:r>
              <w:rPr>
                <w:sz w:val="24"/>
              </w:rPr>
              <w:t>50</w:t>
            </w:r>
            <w:r>
              <w:rPr>
                <w:rFonts w:hint="eastAsia"/>
                <w:sz w:val="24"/>
              </w:rPr>
              <w:t>作为主干，提取其低层空间信息以及高层语义信息。在编码器中引入了S</w:t>
            </w:r>
            <w:r>
              <w:rPr>
                <w:sz w:val="24"/>
              </w:rPr>
              <w:t>E-</w:t>
            </w:r>
            <w:r>
              <w:rPr>
                <w:rFonts w:hint="eastAsia"/>
                <w:sz w:val="24"/>
              </w:rPr>
              <w:t>Net，旨在复杂的背景干扰下提取更精细的肿瘤特征，从而提高检测的准确性。</w:t>
            </w:r>
          </w:p>
          <w:p>
            <w:pPr>
              <w:spacing w:line="312" w:lineRule="auto"/>
              <w:ind w:firstLine="480" w:firstLineChars="200"/>
              <w:rPr>
                <w:sz w:val="24"/>
              </w:rPr>
            </w:pPr>
            <w:r>
              <w:rPr>
                <w:rFonts w:hint="eastAsia"/>
                <w:sz w:val="24"/>
              </w:rPr>
              <w:t>为了能够更好的利用这些特征，我们使用所有阶段的共享特征进行分割和分类任务，设计了一个任务注意力机制分别自上而下和自下而上的捕捉每个阶段的特征关系，任务注意力机制会自动确定每个任务共享特征的重要性。从而允许以一种自我监督、端到端的方式学习任务共享和特定任务的特征。多任务学习中任务权重设置不当可能会导致任务偏差，为了减轻这种多任务学习的负面影响，我们采用了一种基于同方差不确定性的方法自适应地调整权重对胶质瘤分割和IDH基因分型损失进行加权。</w:t>
            </w:r>
          </w:p>
          <w:p>
            <w:pPr>
              <w:spacing w:line="312" w:lineRule="auto"/>
              <w:jc w:val="center"/>
              <w:rPr>
                <w:b/>
                <w:bCs/>
                <w:sz w:val="24"/>
              </w:rPr>
            </w:pPr>
            <w:r>
              <w:rPr>
                <w:b/>
                <w:bCs/>
                <w:sz w:val="24"/>
              </w:rPr>
              <w:drawing>
                <wp:inline distT="0" distB="0" distL="0" distR="0">
                  <wp:extent cx="5585460" cy="20358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45836" cy="2057727"/>
                          </a:xfrm>
                          <a:prstGeom prst="rect">
                            <a:avLst/>
                          </a:prstGeom>
                          <a:noFill/>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3 A</w:t>
            </w:r>
            <w:r>
              <w:rPr>
                <w:rFonts w:hint="eastAsia" w:eastAsia="黑体"/>
                <w:color w:val="000000"/>
                <w:szCs w:val="21"/>
              </w:rPr>
              <w:t>M</w:t>
            </w:r>
            <w:r>
              <w:rPr>
                <w:rFonts w:eastAsia="黑体"/>
                <w:color w:val="000000"/>
                <w:szCs w:val="21"/>
              </w:rPr>
              <w:t>TN</w:t>
            </w:r>
            <w:r>
              <w:rPr>
                <w:rFonts w:hint="eastAsia" w:eastAsia="黑体"/>
                <w:color w:val="000000"/>
                <w:szCs w:val="21"/>
              </w:rPr>
              <w:t>网络结果图</w:t>
            </w:r>
          </w:p>
          <w:p>
            <w:pPr>
              <w:spacing w:line="312" w:lineRule="auto"/>
              <w:ind w:firstLine="480" w:firstLineChars="200"/>
              <w:rPr>
                <w:color w:val="000000"/>
                <w:sz w:val="24"/>
              </w:rPr>
            </w:pPr>
            <w:r>
              <w:rPr>
                <w:color w:val="000000"/>
                <w:sz w:val="24"/>
              </w:rPr>
              <w:t>2</w:t>
            </w:r>
            <w:r>
              <w:rPr>
                <w:rFonts w:hint="eastAsia"/>
                <w:color w:val="000000"/>
                <w:sz w:val="24"/>
              </w:rPr>
              <w:t>）任务注意力机制模块</w:t>
            </w:r>
          </w:p>
          <w:p>
            <w:pPr>
              <w:spacing w:line="312" w:lineRule="auto"/>
              <w:ind w:firstLine="480" w:firstLineChars="200"/>
              <w:rPr>
                <w:color w:val="000000"/>
                <w:sz w:val="24"/>
              </w:rPr>
            </w:pPr>
            <w:r>
              <w:rPr>
                <w:rFonts w:hint="eastAsia"/>
                <w:color w:val="000000"/>
                <w:sz w:val="24"/>
              </w:rPr>
              <w:t>为了能够更好的利用学习到的特征，受一种基于soft-attention模块的多任务学习框架的启发，使用一个主网络用来产生所有任务共享的特征图，以学习特定于任务的特征。共享主网络可以看作是一个跨任务的特征表示，每一个任务注意力机制都可以被看作是对主网络的特征选择器，决定哪些共享特征被用到自己的子任务中，图4显示了任务注意力机制模块，它包括两个任务感知注意力模块。</w:t>
            </w:r>
          </w:p>
          <w:p>
            <w:pPr>
              <w:spacing w:line="312" w:lineRule="auto"/>
              <w:ind w:firstLine="480" w:firstLineChars="200"/>
              <w:rPr>
                <w:color w:val="000000"/>
                <w:sz w:val="24"/>
              </w:rPr>
            </w:pPr>
            <w:r>
              <w:rPr>
                <w:rFonts w:hint="eastAsia"/>
                <w:color w:val="000000"/>
                <w:sz w:val="24"/>
              </w:rPr>
              <w:t>基于分类的任务注意力模块是从上而下连接相连尺度的特征，基于分割的任务注意力模块是从下而上连接相连尺度的特征，接着应用连接尺度的特征与当前阶段的特征计算注意力机制来完成分割和分类的特征细化。</w:t>
            </w:r>
          </w:p>
          <w:p>
            <w:pPr>
              <w:spacing w:line="312" w:lineRule="auto"/>
              <w:rPr>
                <w:color w:val="000000"/>
                <w:sz w:val="24"/>
              </w:rPr>
            </w:pPr>
            <w:r>
              <w:rPr>
                <w:color w:val="000000"/>
                <w:sz w:val="24"/>
              </w:rPr>
              <w:drawing>
                <wp:inline distT="0" distB="0" distL="0" distR="0">
                  <wp:extent cx="5623560" cy="30505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623560" cy="30505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4 </w:t>
            </w:r>
            <w:r>
              <w:rPr>
                <w:rFonts w:hint="eastAsia" w:eastAsia="黑体"/>
                <w:color w:val="000000"/>
                <w:szCs w:val="21"/>
              </w:rPr>
              <w:t>任务注意力模块</w:t>
            </w:r>
          </w:p>
          <w:p>
            <w:pPr>
              <w:spacing w:line="312" w:lineRule="auto"/>
              <w:ind w:firstLine="480" w:firstLineChars="200"/>
              <w:rPr>
                <w:color w:val="000000"/>
                <w:sz w:val="24"/>
              </w:rPr>
            </w:pPr>
            <w:r>
              <w:rPr>
                <w:color w:val="000000"/>
                <w:sz w:val="24"/>
              </w:rPr>
              <w:t>3</w:t>
            </w:r>
            <w:r>
              <w:rPr>
                <w:rFonts w:hint="eastAsia"/>
                <w:color w:val="000000"/>
                <w:sz w:val="24"/>
              </w:rPr>
              <w:t>）不确定性权重结合分割和分类损失函数</w:t>
            </w:r>
          </w:p>
          <w:p>
            <w:pPr>
              <w:spacing w:line="312" w:lineRule="auto"/>
              <w:ind w:firstLine="480" w:firstLineChars="200"/>
              <w:rPr>
                <w:color w:val="000000"/>
                <w:sz w:val="24"/>
              </w:rPr>
            </w:pPr>
            <w:r>
              <w:rPr>
                <w:rFonts w:hint="eastAsia"/>
                <w:color w:val="000000"/>
                <w:sz w:val="24"/>
              </w:rPr>
              <w:t>目前，常见的多任务学习方法是优化所有任务的线性加权损失并求解最小值。然而，这通常无法找到最优解，在实验的过程中很容易出现一个任务收敛的很快，另一个任务收敛的很慢的现象，并且权重参数设置繁琐，网络的训练的收敛快慢与损失函数的梯度有关。</w:t>
            </w:r>
          </w:p>
          <w:p>
            <w:pPr>
              <w:spacing w:line="312" w:lineRule="auto"/>
              <w:ind w:firstLine="480" w:firstLineChars="200"/>
              <w:rPr>
                <w:color w:val="000000"/>
                <w:sz w:val="24"/>
              </w:rPr>
            </w:pPr>
            <w:r>
              <w:rPr>
                <w:rFonts w:hint="eastAsia"/>
                <w:color w:val="000000"/>
                <w:sz w:val="24"/>
              </w:rPr>
              <w:t>在本课题的研究中，我为不同的任务设计了相应的损失函数。一方面，肿瘤分割是</w:t>
            </w:r>
            <w:r>
              <w:rPr>
                <w:color w:val="000000"/>
                <w:sz w:val="24"/>
              </w:rPr>
              <w:t>对像素的多类别预测问题</w:t>
            </w:r>
            <w:r>
              <w:rPr>
                <w:rFonts w:hint="eastAsia"/>
              </w:rPr>
              <w:t>，</w:t>
            </w:r>
            <w:r>
              <w:rPr>
                <w:rFonts w:hint="eastAsia"/>
                <w:color w:val="000000"/>
                <w:sz w:val="24"/>
              </w:rPr>
              <w:t>交叉熵损失函数是分类任务中常用的损失函数，但在肿瘤分割中肿瘤区域的占比往往非常小，单独使用交叉熵损失不能很好的完成分割，并且会导致网络收敛速度缓慢。为针对具有挑战性的分割任务中的前景和背景之间的不平衡可能导致分割偏差的问题。设计了一个混合损失函数，使用基于Dice系数的损失函数作为分割损失，以关注预测值与真实值之间的形状相似性。其中，损失函数的定义如公式（2</w:t>
            </w:r>
            <w:r>
              <w:rPr>
                <w:color w:val="000000"/>
                <w:sz w:val="24"/>
              </w:rPr>
              <w:t>-1</w:t>
            </w:r>
            <w:r>
              <w:rPr>
                <w:rFonts w:hint="eastAsia"/>
                <w:color w:val="000000"/>
                <w:sz w:val="24"/>
              </w:rPr>
              <w:t>），（2</w:t>
            </w:r>
            <w:r>
              <w:rPr>
                <w:color w:val="000000"/>
                <w:sz w:val="24"/>
              </w:rPr>
              <w:t>-2</w:t>
            </w:r>
            <w:r>
              <w:rPr>
                <w:rFonts w:hint="eastAsia"/>
                <w:color w:val="000000"/>
                <w:sz w:val="24"/>
              </w:rPr>
              <w:t>），（2</w:t>
            </w:r>
            <w:r>
              <w:rPr>
                <w:color w:val="000000"/>
                <w:sz w:val="24"/>
              </w:rPr>
              <w:t>-3</w:t>
            </w:r>
            <w:r>
              <w:rPr>
                <w:rFonts w:hint="eastAsia"/>
                <w:color w:val="000000"/>
                <w:sz w:val="24"/>
              </w:rPr>
              <w:t>）。</w:t>
            </w:r>
          </w:p>
          <w:p>
            <w:pPr>
              <w:spacing w:line="312" w:lineRule="auto"/>
              <w:rPr>
                <w:color w:val="000000"/>
                <w:sz w:val="24"/>
              </w:rPr>
            </w:pPr>
            <m:oMathPara>
              <m:oMath>
                <m:eqArr>
                  <m:eqArrPr>
                    <m:maxDist m:val="1"/>
                    <m:ctrlPr>
                      <w:rPr>
                        <w:rFonts w:ascii="Cambria Math" w:hAnsi="Cambria Math"/>
                        <w:i/>
                        <w:color w:val="000000"/>
                        <w:sz w:val="24"/>
                      </w:rPr>
                    </m:ctrlPr>
                  </m:eqArrPr>
                  <m:e>
                    <m:sSub>
                      <m:sSubPr>
                        <m:ctrlPr>
                          <w:rPr>
                            <w:rFonts w:ascii="Cambria Math" w:hAnsi="Cambria Math"/>
                            <w:iCs/>
                            <w:color w:val="000000"/>
                            <w:sz w:val="24"/>
                          </w:rPr>
                        </m:ctrlPr>
                      </m:sSubPr>
                      <m:e>
                        <m:r>
                          <m:rPr>
                            <m:nor/>
                            <m:sty m:val="p"/>
                          </m:rPr>
                          <w:rPr>
                            <w:rFonts w:ascii="Cambria Math" w:hAnsi="Cambria Math"/>
                            <w:b w:val="0"/>
                            <w:i w:val="0"/>
                            <w:iCs/>
                            <w:color w:val="000000"/>
                            <w:sz w:val="24"/>
                          </w:rPr>
                          <m:t>L</m:t>
                        </m:r>
                        <m:ctrlPr>
                          <w:rPr>
                            <w:rFonts w:ascii="Cambria Math" w:hAnsi="Cambria Math"/>
                            <w:iCs/>
                            <w:color w:val="000000"/>
                            <w:sz w:val="24"/>
                          </w:rPr>
                        </m:ctrlPr>
                      </m:e>
                      <m:sub>
                        <m:r>
                          <m:rPr>
                            <m:nor/>
                            <m:sty m:val="p"/>
                          </m:rPr>
                          <w:rPr>
                            <w:rFonts w:ascii="Cambria Math" w:hAnsi="Cambria Math"/>
                            <w:b w:val="0"/>
                            <w:i w:val="0"/>
                            <w:iCs/>
                            <w:color w:val="000000"/>
                            <w:sz w:val="24"/>
                          </w:rPr>
                          <m:t>CE</m:t>
                        </m:r>
                        <m:ctrlPr>
                          <w:rPr>
                            <w:rFonts w:ascii="Cambria Math" w:hAnsi="Cambria Math"/>
                            <w:iCs/>
                            <w:color w:val="000000"/>
                            <w:sz w:val="24"/>
                          </w:rPr>
                        </m:ctrlPr>
                      </m:sub>
                    </m:sSub>
                    <m:r>
                      <m:rPr>
                        <m:nor/>
                        <m:sty m:val="p"/>
                      </m:rPr>
                      <w:rPr>
                        <w:rFonts w:ascii="Cambria Math" w:hAnsi="Cambria Math"/>
                        <w:b w:val="0"/>
                        <w:i w:val="0"/>
                        <w:iCs/>
                        <w:color w:val="000000"/>
                        <w:sz w:val="24"/>
                      </w:rPr>
                      <m:t>=-</m:t>
                    </m:r>
                    <m:f>
                      <m:fPr>
                        <m:ctrlPr>
                          <w:rPr>
                            <w:rFonts w:ascii="Cambria Math" w:hAnsi="Cambria Math"/>
                            <w:iCs/>
                            <w:color w:val="000000"/>
                            <w:sz w:val="24"/>
                          </w:rPr>
                        </m:ctrlPr>
                      </m:fPr>
                      <m:num>
                        <m:r>
                          <m:rPr>
                            <m:nor/>
                            <m:sty m:val="p"/>
                          </m:rPr>
                          <w:rPr>
                            <w:rFonts w:ascii="Cambria Math" w:hAnsi="Cambria Math"/>
                            <w:b w:val="0"/>
                            <w:i w:val="0"/>
                            <w:iCs/>
                            <w:color w:val="000000"/>
                            <w:sz w:val="24"/>
                          </w:rPr>
                          <m:t>1</m:t>
                        </m:r>
                        <m:ctrlPr>
                          <w:rPr>
                            <w:rFonts w:ascii="Cambria Math" w:hAnsi="Cambria Math"/>
                            <w:iCs/>
                            <w:color w:val="000000"/>
                            <w:sz w:val="24"/>
                          </w:rPr>
                        </m:ctrlPr>
                      </m:num>
                      <m:den>
                        <m:r>
                          <m:rPr>
                            <m:nor/>
                            <m:sty m:val="p"/>
                          </m:rPr>
                          <w:rPr>
                            <w:rFonts w:ascii="Cambria Math" w:hAnsi="Cambria Math"/>
                            <w:b w:val="0"/>
                            <w:i w:val="0"/>
                            <w:iCs/>
                            <w:color w:val="000000"/>
                            <w:sz w:val="24"/>
                          </w:rPr>
                          <m:t>N</m:t>
                        </m:r>
                        <m:ctrlPr>
                          <w:rPr>
                            <w:rFonts w:ascii="Cambria Math" w:hAnsi="Cambria Math"/>
                            <w:iCs/>
                            <w:color w:val="000000"/>
                            <w:sz w:val="24"/>
                          </w:rPr>
                        </m:ctrlPr>
                      </m:den>
                    </m:f>
                    <m:nary>
                      <m:naryPr>
                        <m:chr m:val="∑"/>
                        <m:limLoc m:val="undOvr"/>
                        <m:ctrlPr>
                          <w:rPr>
                            <w:rFonts w:ascii="Cambria Math" w:hAnsi="Cambria Math"/>
                            <w:iCs/>
                            <w:color w:val="000000"/>
                            <w:sz w:val="24"/>
                          </w:rPr>
                        </m:ctrlPr>
                      </m:naryPr>
                      <m:sub>
                        <m:r>
                          <m:rPr>
                            <m:nor/>
                            <m:sty m:val="p"/>
                          </m:rPr>
                          <w:rPr>
                            <w:rFonts w:ascii="Cambria Math" w:hAnsi="Cambria Math"/>
                            <w:b w:val="0"/>
                            <w:i w:val="0"/>
                            <w:iCs/>
                            <w:color w:val="000000"/>
                            <w:sz w:val="24"/>
                          </w:rPr>
                          <m:t>c=1</m:t>
                        </m:r>
                        <m:ctrlPr>
                          <w:rPr>
                            <w:rFonts w:ascii="Cambria Math" w:hAnsi="Cambria Math"/>
                            <w:iCs/>
                            <w:color w:val="000000"/>
                            <w:sz w:val="24"/>
                          </w:rPr>
                        </m:ctrlPr>
                      </m:sub>
                      <m:sup>
                        <m:r>
                          <m:rPr>
                            <m:nor/>
                            <m:sty m:val="p"/>
                          </m:rPr>
                          <w:rPr>
                            <w:rFonts w:ascii="Cambria Math" w:hAnsi="Cambria Math"/>
                            <w:b w:val="0"/>
                            <w:i w:val="0"/>
                            <w:iCs/>
                            <w:color w:val="000000"/>
                            <w:sz w:val="24"/>
                          </w:rPr>
                          <m:t>N</m:t>
                        </m:r>
                        <m:ctrlPr>
                          <w:rPr>
                            <w:rFonts w:ascii="Cambria Math" w:hAnsi="Cambria Math"/>
                            <w:iCs/>
                            <w:color w:val="000000"/>
                            <w:sz w:val="24"/>
                          </w:rPr>
                        </m:ctrlPr>
                      </m:sup>
                      <m:e>
                        <m:sSub>
                          <m:sSubPr>
                            <m:ctrlPr>
                              <w:rPr>
                                <w:rFonts w:ascii="Cambria Math" w:hAnsi="Cambria Math"/>
                                <w:iCs/>
                                <w:color w:val="000000"/>
                                <w:sz w:val="24"/>
                              </w:rPr>
                            </m:ctrlPr>
                          </m:sSubPr>
                          <m:e>
                            <m:r>
                              <m:rPr>
                                <m:nor/>
                                <m:sty m:val="p"/>
                              </m:rPr>
                              <w:rPr>
                                <w:rFonts w:ascii="Cambria Math" w:hAnsi="Cambria Math"/>
                                <w:b w:val="0"/>
                                <w:i w:val="0"/>
                                <w:iCs/>
                                <w:color w:val="000000"/>
                                <w:sz w:val="24"/>
                              </w:rPr>
                              <m:t>y</m:t>
                            </m:r>
                            <m:ctrlPr>
                              <w:rPr>
                                <w:rFonts w:ascii="Cambria Math" w:hAnsi="Cambria Math"/>
                                <w:iCs/>
                                <w:color w:val="000000"/>
                                <w:sz w:val="24"/>
                              </w:rPr>
                            </m:ctrlPr>
                          </m:e>
                          <m:sub>
                            <m:r>
                              <m:rPr>
                                <m:nor/>
                                <m:sty m:val="p"/>
                              </m:rPr>
                              <w:rPr>
                                <w:rFonts w:ascii="Cambria Math" w:hAnsi="Cambria Math"/>
                                <w:b w:val="0"/>
                                <w:i w:val="0"/>
                                <w:iCs/>
                                <w:color w:val="000000"/>
                                <w:sz w:val="24"/>
                              </w:rPr>
                              <m:t>c</m:t>
                            </m:r>
                            <m:ctrlPr>
                              <w:rPr>
                                <w:rFonts w:ascii="Cambria Math" w:hAnsi="Cambria Math"/>
                                <w:iCs/>
                                <w:color w:val="000000"/>
                                <w:sz w:val="24"/>
                              </w:rPr>
                            </m:ctrlPr>
                          </m:sub>
                        </m:sSub>
                        <m:func>
                          <m:funcPr>
                            <m:ctrlPr>
                              <w:rPr>
                                <w:rFonts w:ascii="Cambria Math" w:hAnsi="Cambria Math"/>
                                <w:iCs/>
                                <w:color w:val="000000"/>
                                <w:sz w:val="24"/>
                              </w:rPr>
                            </m:ctrlPr>
                          </m:funcPr>
                          <m:fName>
                            <m:r>
                              <m:rPr>
                                <m:nor/>
                                <m:sty m:val="p"/>
                              </m:rPr>
                              <w:rPr>
                                <w:rFonts w:ascii="Cambria Math" w:hAnsi="Cambria Math"/>
                                <w:b w:val="0"/>
                                <w:i w:val="0"/>
                                <w:iCs/>
                                <w:color w:val="000000"/>
                                <w:sz w:val="24"/>
                              </w:rPr>
                              <m:t>log</m:t>
                            </m:r>
                            <m:ctrlPr>
                              <w:rPr>
                                <w:rFonts w:ascii="Cambria Math" w:hAnsi="Cambria Math"/>
                                <w:iCs/>
                                <w:color w:val="000000"/>
                                <w:sz w:val="24"/>
                              </w:rPr>
                            </m:ctrlPr>
                          </m:fName>
                          <m:e>
                            <m:r>
                              <m:rPr>
                                <m:nor/>
                                <m:sty m:val="p"/>
                              </m:rPr>
                              <w:rPr>
                                <w:rFonts w:ascii="Cambria Math" w:hAnsi="Cambria Math"/>
                                <w:b w:val="0"/>
                                <w:i w:val="0"/>
                                <w:iCs/>
                                <w:color w:val="000000"/>
                                <w:sz w:val="24"/>
                              </w:rPr>
                              <m:t>(</m:t>
                            </m:r>
                            <m:sSub>
                              <m:sSubPr>
                                <m:ctrlPr>
                                  <w:rPr>
                                    <w:rFonts w:ascii="Cambria Math" w:hAnsi="Cambria Math"/>
                                    <w:iCs/>
                                    <w:color w:val="000000"/>
                                    <w:sz w:val="24"/>
                                  </w:rPr>
                                </m:ctrlPr>
                              </m:sSubPr>
                              <m:e>
                                <m:r>
                                  <m:rPr>
                                    <m:nor/>
                                    <m:sty m:val="p"/>
                                  </m:rPr>
                                  <w:rPr>
                                    <w:rFonts w:ascii="Cambria Math" w:hAnsi="Cambria Math"/>
                                    <w:b w:val="0"/>
                                    <w:i w:val="0"/>
                                    <w:iCs/>
                                    <w:color w:val="000000"/>
                                    <w:sz w:val="24"/>
                                  </w:rPr>
                                  <m:t>p</m:t>
                                </m:r>
                                <m:ctrlPr>
                                  <w:rPr>
                                    <w:rFonts w:ascii="Cambria Math" w:hAnsi="Cambria Math"/>
                                    <w:iCs/>
                                    <w:color w:val="000000"/>
                                    <w:sz w:val="24"/>
                                  </w:rPr>
                                </m:ctrlPr>
                              </m:e>
                              <m:sub>
                                <m:r>
                                  <m:rPr>
                                    <m:nor/>
                                    <m:sty m:val="p"/>
                                  </m:rPr>
                                  <w:rPr>
                                    <w:rFonts w:ascii="Cambria Math" w:hAnsi="Cambria Math"/>
                                    <w:b w:val="0"/>
                                    <w:i w:val="0"/>
                                    <w:iCs/>
                                    <w:color w:val="000000"/>
                                    <w:sz w:val="24"/>
                                  </w:rPr>
                                  <m:t>c</m:t>
                                </m:r>
                                <m:ctrlPr>
                                  <w:rPr>
                                    <w:rFonts w:ascii="Cambria Math" w:hAnsi="Cambria Math"/>
                                    <w:iCs/>
                                    <w:color w:val="000000"/>
                                    <w:sz w:val="24"/>
                                  </w:rPr>
                                </m:ctrlPr>
                              </m:sub>
                            </m:sSub>
                            <m:r>
                              <m:rPr>
                                <m:nor/>
                                <m:sty m:val="p"/>
                              </m:rPr>
                              <w:rPr>
                                <w:rFonts w:ascii="Cambria Math" w:hAnsi="Cambria Math"/>
                                <w:b w:val="0"/>
                                <w:i w:val="0"/>
                                <w:iCs/>
                                <w:color w:val="000000"/>
                                <w:sz w:val="24"/>
                              </w:rPr>
                              <m:t>)</m:t>
                            </m:r>
                            <m:ctrlPr>
                              <w:rPr>
                                <w:rFonts w:ascii="Cambria Math" w:hAnsi="Cambria Math"/>
                                <w:iCs/>
                                <w:color w:val="000000"/>
                                <w:sz w:val="24"/>
                              </w:rPr>
                            </m:ctrlPr>
                          </m:e>
                        </m:func>
                        <m:ctrlPr>
                          <w:rPr>
                            <w:rFonts w:ascii="Cambria Math" w:hAnsi="Cambria Math"/>
                            <w:iCs/>
                            <w:color w:val="000000"/>
                            <w:sz w:val="24"/>
                          </w:rPr>
                        </m:ctrlPr>
                      </m:e>
                    </m:nary>
                    <m:r>
                      <m:rPr/>
                      <w:rPr>
                        <w:rFonts w:ascii="Cambria Math" w:hAnsi="Cambria Math"/>
                        <w:color w:val="000000"/>
                        <w:sz w:val="24"/>
                      </w:rPr>
                      <m:t>#</m:t>
                    </m:r>
                    <m:d>
                      <m:dPr>
                        <m:ctrlPr>
                          <w:rPr>
                            <w:rFonts w:ascii="Cambria Math" w:hAnsi="Cambria Math"/>
                            <w:i/>
                            <w:color w:val="000000"/>
                            <w:sz w:val="24"/>
                          </w:rPr>
                        </m:ctrlPr>
                      </m:dPr>
                      <m:e>
                        <m:r>
                          <m:rPr>
                            <m:nor/>
                            <m:sty m:val="p"/>
                          </m:rPr>
                          <w:rPr>
                            <w:b w:val="0"/>
                            <w:i w:val="0"/>
                            <w:color w:val="000000"/>
                            <w:sz w:val="24"/>
                          </w:rPr>
                          <m:t>2-1</m:t>
                        </m:r>
                        <m:ctrlPr>
                          <w:rPr>
                            <w:rFonts w:ascii="Cambria Math" w:hAnsi="Cambria Math"/>
                            <w:i/>
                            <w:color w:val="000000"/>
                            <w:sz w:val="24"/>
                          </w:rPr>
                        </m:ctrlPr>
                      </m:e>
                    </m:d>
                    <m:ctrlPr>
                      <w:rPr>
                        <w:rFonts w:ascii="Cambria Math" w:hAnsi="Cambria Math"/>
                        <w:i/>
                        <w:color w:val="000000"/>
                        <w:sz w:val="24"/>
                      </w:rPr>
                    </m:ctrlPr>
                  </m:e>
                </m:eqArr>
              </m:oMath>
            </m:oMathPara>
          </w:p>
          <w:p>
            <w:pPr>
              <w:spacing w:line="312" w:lineRule="auto"/>
              <w:rPr>
                <w:color w:val="000000"/>
                <w:sz w:val="24"/>
              </w:rPr>
            </w:pPr>
            <m:oMathPara>
              <m:oMath>
                <m:eqArr>
                  <m:eqArrPr>
                    <m:maxDist m:val="1"/>
                    <m:ctrlPr>
                      <w:rPr>
                        <w:rFonts w:ascii="Cambria Math" w:hAnsi="Cambria Math"/>
                        <w:i/>
                        <w:color w:val="000000"/>
                        <w:sz w:val="24"/>
                      </w:rPr>
                    </m:ctrlPr>
                  </m:eqArrPr>
                  <m:e>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Dice</m:t>
                        </m:r>
                        <m:ctrlPr>
                          <w:rPr>
                            <w:rFonts w:ascii="Cambria Math" w:hAnsi="Cambria Math"/>
                            <w:iCs/>
                            <w:color w:val="000000"/>
                            <w:sz w:val="24"/>
                          </w:rPr>
                        </m:ctrlPr>
                      </m:sub>
                    </m:sSub>
                    <m:r>
                      <m:rPr>
                        <m:sty m:val="p"/>
                      </m:rPr>
                      <w:rPr>
                        <w:rFonts w:ascii="Cambria Math" w:hAnsi="Cambria Math"/>
                        <w:color w:val="000000"/>
                        <w:sz w:val="24"/>
                      </w:rPr>
                      <m:t>=1−</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m</m:t>
                        </m:r>
                        <m:ctrlPr>
                          <w:rPr>
                            <w:rFonts w:ascii="Cambria Math" w:hAnsi="Cambria Math"/>
                            <w:iCs/>
                            <w:color w:val="000000"/>
                            <w:sz w:val="24"/>
                          </w:rPr>
                        </m:ctrlPr>
                      </m:den>
                    </m:f>
                    <m:d>
                      <m:dPr>
                        <m:ctrlPr>
                          <w:rPr>
                            <w:rFonts w:ascii="Cambria Math" w:hAnsi="Cambria Math" w:eastAsia="Cambria Math"/>
                            <w:iCs/>
                            <w:color w:val="000000"/>
                            <w:sz w:val="24"/>
                          </w:rPr>
                        </m:ctrlPr>
                      </m:dPr>
                      <m:e>
                        <m:f>
                          <m:fPr>
                            <m:ctrlPr>
                              <w:rPr>
                                <w:rFonts w:ascii="Cambria Math" w:hAnsi="Cambria Math" w:eastAsia="Cambria Math"/>
                                <w:iCs/>
                                <w:color w:val="000000"/>
                                <w:sz w:val="24"/>
                              </w:rPr>
                            </m:ctrlPr>
                          </m:fPr>
                          <m:num>
                            <m:r>
                              <m:rPr>
                                <m:sty m:val="p"/>
                              </m:rPr>
                              <w:rPr>
                                <w:rFonts w:ascii="Cambria Math" w:hAnsi="Cambria Math" w:eastAsia="Cambria Math"/>
                                <w:color w:val="000000"/>
                                <w:sz w:val="24"/>
                              </w:rPr>
                              <m:t>2</m:t>
                            </m:r>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ctrlPr>
                                      <w:rPr>
                                        <w:rFonts w:ascii="Cambria Math" w:hAnsi="Cambria Math" w:eastAsia="Cambria Math"/>
                                        <w:iCs/>
                                        <w:color w:val="000000"/>
                                        <w:sz w:val="24"/>
                                      </w:rPr>
                                    </m:ctrlPr>
                                  </m:e>
                                </m:nary>
                                <m:ctrlPr>
                                  <w:rPr>
                                    <w:rFonts w:ascii="Cambria Math" w:hAnsi="Cambria Math" w:eastAsia="Cambria Math"/>
                                    <w:iCs/>
                                    <w:color w:val="000000"/>
                                    <w:sz w:val="24"/>
                                  </w:rPr>
                                </m:ctrlPr>
                              </m:e>
                            </m:nary>
                            <m:ctrlPr>
                              <w:rPr>
                                <w:rFonts w:ascii="Cambria Math" w:hAnsi="Cambria Math" w:eastAsia="Cambria Math"/>
                                <w:iCs/>
                                <w:color w:val="000000"/>
                                <w:sz w:val="24"/>
                              </w:rPr>
                            </m:ctrlPr>
                          </m:num>
                          <m:den>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r>
                                      <m:rPr>
                                        <m:sty m:val="p"/>
                                      </m:rPr>
                                      <w:rPr>
                                        <w:rFonts w:ascii="Cambria Math" w:hAnsi="Cambria Math" w:eastAsia="Cambria Math"/>
                                        <w:color w:val="000000"/>
                                        <w:sz w:val="24"/>
                                      </w:rPr>
                                      <m:t>+S</m:t>
                                    </m:r>
                                    <m:ctrlPr>
                                      <w:rPr>
                                        <w:rFonts w:ascii="Cambria Math" w:hAnsi="Cambria Math" w:eastAsia="Cambria Math"/>
                                        <w:iCs/>
                                        <w:color w:val="000000"/>
                                        <w:sz w:val="24"/>
                                      </w:rPr>
                                    </m:ctrlPr>
                                  </m:e>
                                </m:nary>
                                <m:ctrlPr>
                                  <w:rPr>
                                    <w:rFonts w:ascii="Cambria Math" w:hAnsi="Cambria Math" w:eastAsia="Cambria Math"/>
                                    <w:iCs/>
                                    <w:color w:val="000000"/>
                                    <w:sz w:val="24"/>
                                  </w:rPr>
                                </m:ctrlPr>
                              </m:e>
                            </m:nary>
                            <m:ctrlPr>
                              <w:rPr>
                                <w:rFonts w:ascii="Cambria Math" w:hAnsi="Cambria Math" w:eastAsia="Cambria Math"/>
                                <w:iCs/>
                                <w:color w:val="000000"/>
                                <w:sz w:val="24"/>
                              </w:rPr>
                            </m:ctrlPr>
                          </m:den>
                        </m:f>
                        <m:ctrlPr>
                          <w:rPr>
                            <w:rFonts w:ascii="Cambria Math" w:hAnsi="Cambria Math" w:eastAsia="Cambria Math"/>
                            <w:iCs/>
                            <w:color w:val="000000"/>
                            <w:sz w:val="24"/>
                          </w:rPr>
                        </m:ctrlPr>
                      </m:e>
                    </m:d>
                    <m:r>
                      <m:rPr/>
                      <w:rPr>
                        <w:rFonts w:ascii="Cambria Math" w:hAnsi="Cambria Math"/>
                        <w:color w:val="000000"/>
                        <w:sz w:val="24"/>
                      </w:rPr>
                      <m:t>#</m:t>
                    </m:r>
                    <m:d>
                      <m:dPr>
                        <m:ctrlPr>
                          <w:rPr>
                            <w:rFonts w:ascii="Cambria Math" w:hAnsi="Cambria Math"/>
                            <w:i/>
                            <w:color w:val="000000"/>
                            <w:sz w:val="24"/>
                          </w:rPr>
                        </m:ctrlPr>
                      </m:dPr>
                      <m:e>
                        <m:r>
                          <m:rPr>
                            <m:nor/>
                            <m:sty m:val="p"/>
                          </m:rPr>
                          <w:rPr>
                            <w:b w:val="0"/>
                            <w:i w:val="0"/>
                            <w:color w:val="000000"/>
                            <w:sz w:val="24"/>
                          </w:rPr>
                          <m:t>2-2</m:t>
                        </m:r>
                        <m:ctrlPr>
                          <w:rPr>
                            <w:rFonts w:ascii="Cambria Math" w:hAnsi="Cambria Math"/>
                            <w:i/>
                            <w:color w:val="000000"/>
                            <w:sz w:val="24"/>
                          </w:rPr>
                        </m:ctrlPr>
                      </m:e>
                    </m:d>
                    <m:ctrlPr>
                      <w:rPr>
                        <w:rFonts w:ascii="Cambria Math" w:hAnsi="Cambria Math"/>
                        <w:i/>
                        <w:color w:val="000000"/>
                        <w:sz w:val="24"/>
                      </w:rPr>
                    </m:ctrlPr>
                  </m:e>
                </m:eqArr>
              </m:oMath>
            </m:oMathPara>
          </w:p>
          <w:p>
            <w:pPr>
              <w:spacing w:line="312" w:lineRule="auto"/>
              <w:rPr>
                <w:color w:val="000000"/>
                <w:sz w:val="24"/>
              </w:rPr>
            </w:pPr>
            <m:oMathPara>
              <m:oMath>
                <m:eqArr>
                  <m:eqArrPr>
                    <m:maxDist m:val="1"/>
                    <m:ctrlPr>
                      <w:rPr>
                        <w:rFonts w:ascii="Cambria Math" w:hAnsi="Cambria Math" w:eastAsia="Cambria Math"/>
                        <w:i/>
                        <w:color w:val="000000"/>
                        <w:sz w:val="24"/>
                      </w:rPr>
                    </m:ctrlPr>
                  </m:eqArr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Theme="minorEastAsia"/>
                            <w:color w:val="000000"/>
                            <w:sz w:val="24"/>
                          </w:rPr>
                          <m:t>seg</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Cambria Math"/>
                            <w:color w:val="000000"/>
                            <w:sz w:val="24"/>
                          </w:rPr>
                          <m:t>CE</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Cambria Math"/>
                            <w:color w:val="000000"/>
                            <w:sz w:val="24"/>
                          </w:rPr>
                          <m:t>Dice</m:t>
                        </m:r>
                        <m:ctrlPr>
                          <w:rPr>
                            <w:rFonts w:ascii="Cambria Math" w:hAnsi="Cambria Math" w:eastAsia="Cambria Math"/>
                            <w:iCs/>
                            <w:color w:val="000000"/>
                            <w:sz w:val="24"/>
                          </w:rPr>
                        </m:ctrlPr>
                      </m:sub>
                    </m:sSub>
                    <m:r>
                      <m:rPr/>
                      <w:rPr>
                        <w:rFonts w:ascii="Cambria Math" w:hAnsi="Cambria Math" w:eastAsia="Cambria Math"/>
                        <w:color w:val="000000"/>
                        <w:sz w:val="24"/>
                      </w:rPr>
                      <m:t>#</m:t>
                    </m:r>
                    <m:d>
                      <m:dPr>
                        <m:ctrlPr>
                          <w:rPr>
                            <w:rFonts w:ascii="Cambria Math" w:hAnsi="Cambria Math" w:eastAsia="Cambria Math"/>
                            <w:i/>
                            <w:color w:val="000000"/>
                            <w:sz w:val="24"/>
                          </w:rPr>
                        </m:ctrlPr>
                      </m:dPr>
                      <m:e>
                        <m:r>
                          <m:rPr>
                            <m:nor/>
                            <m:sty m:val="p"/>
                          </m:rPr>
                          <w:rPr>
                            <w:b w:val="0"/>
                            <w:i w:val="0"/>
                            <w:color w:val="000000"/>
                            <w:sz w:val="24"/>
                          </w:rPr>
                          <m:t>2-</m:t>
                        </m:r>
                        <m:r>
                          <m:rPr>
                            <m:nor/>
                            <m:sty m:val="p"/>
                          </m:rPr>
                          <w:rPr>
                            <w:rFonts w:eastAsia="Cambria Math"/>
                            <w:b w:val="0"/>
                            <w:i w:val="0"/>
                            <w:color w:val="000000"/>
                            <w:sz w:val="24"/>
                          </w:rPr>
                          <m:t>3</m:t>
                        </m:r>
                        <m:ctrlPr>
                          <w:rPr>
                            <w:rFonts w:ascii="Cambria Math" w:hAnsi="Cambria Math" w:eastAsia="Cambria Math"/>
                            <w:i/>
                            <w:color w:val="000000"/>
                            <w:sz w:val="24"/>
                          </w:rPr>
                        </m:ctrlPr>
                      </m:e>
                    </m:d>
                    <m:ctrlPr>
                      <w:rPr>
                        <w:rFonts w:ascii="Cambria Math" w:hAnsi="Cambria Math" w:eastAsia="Cambria Math"/>
                        <w:i/>
                        <w:color w:val="000000"/>
                        <w:sz w:val="24"/>
                      </w:rPr>
                    </m:ctrlPr>
                  </m:e>
                </m:eqArr>
              </m:oMath>
            </m:oMathPara>
          </w:p>
          <w:p>
            <w:pPr>
              <w:spacing w:line="312" w:lineRule="auto"/>
              <w:rPr>
                <w:color w:val="000000"/>
                <w:sz w:val="24"/>
              </w:rPr>
            </w:pPr>
            <w:r>
              <w:rPr>
                <w:rFonts w:hint="eastAsia"/>
                <w:color w:val="000000"/>
                <w:sz w:val="24"/>
              </w:rPr>
              <w:t>式中：</w:t>
            </w:r>
            <w:r>
              <w:rPr>
                <w:rFonts w:hint="eastAsia"/>
                <w:i/>
                <w:iCs/>
                <w:color w:val="000000"/>
                <w:sz w:val="24"/>
              </w:rPr>
              <w:t>L</w:t>
            </w:r>
            <w:r>
              <w:rPr>
                <w:rFonts w:hint="eastAsia"/>
                <w:i/>
                <w:iCs/>
                <w:color w:val="000000"/>
                <w:sz w:val="24"/>
                <w:vertAlign w:val="subscript"/>
              </w:rPr>
              <w:t>CE</w:t>
            </w:r>
            <w:r>
              <w:rPr>
                <w:rFonts w:hint="eastAsia"/>
                <w:color w:val="000000"/>
                <w:sz w:val="24"/>
              </w:rPr>
              <w:t>表示交叉熵损失；</w:t>
            </w:r>
            <w:r>
              <w:rPr>
                <w:color w:val="000000"/>
                <w:sz w:val="24"/>
              </w:rPr>
              <w:t>y</w:t>
            </w:r>
            <w:r>
              <w:rPr>
                <w:rFonts w:hint="eastAsia"/>
                <w:color w:val="000000"/>
                <w:sz w:val="24"/>
              </w:rPr>
              <w:t>表示标签；</w:t>
            </w:r>
            <w:r>
              <w:rPr>
                <w:color w:val="000000"/>
                <w:sz w:val="24"/>
              </w:rPr>
              <w:t>p</w:t>
            </w:r>
            <w:r>
              <w:rPr>
                <w:color w:val="000000"/>
                <w:sz w:val="24"/>
                <w:vertAlign w:val="subscript"/>
              </w:rPr>
              <w:t>c</w:t>
            </w:r>
            <w:r>
              <w:rPr>
                <w:rFonts w:hint="eastAsia"/>
                <w:color w:val="000000"/>
                <w:sz w:val="24"/>
              </w:rPr>
              <w:t>表示网络输出预测属于</w:t>
            </w:r>
            <w:r>
              <w:rPr>
                <w:color w:val="000000"/>
                <w:sz w:val="24"/>
              </w:rPr>
              <w:t>c</w:t>
            </w:r>
            <w:r>
              <w:rPr>
                <w:rFonts w:hint="eastAsia"/>
                <w:color w:val="000000"/>
                <w:sz w:val="24"/>
              </w:rPr>
              <w:t>的概率；</w:t>
            </w:r>
            <w:r>
              <w:rPr>
                <w:color w:val="000000"/>
                <w:sz w:val="24"/>
              </w:rPr>
              <w:t>N</w:t>
            </w:r>
            <w:r>
              <w:rPr>
                <w:rFonts w:hint="eastAsia"/>
                <w:color w:val="000000"/>
                <w:sz w:val="24"/>
              </w:rPr>
              <w:t>代表类别数；</w:t>
            </w:r>
            <w:r>
              <w:rPr>
                <w:i/>
                <w:iCs/>
                <w:color w:val="000000"/>
                <w:sz w:val="24"/>
              </w:rPr>
              <w:t>m</w:t>
            </w:r>
            <w:r>
              <w:rPr>
                <w:rFonts w:hint="eastAsia"/>
                <w:color w:val="000000"/>
                <w:sz w:val="24"/>
              </w:rPr>
              <w:t>表示图片的像素总数；</w:t>
            </w:r>
            <w:r>
              <w:rPr>
                <w:i/>
                <w:iCs/>
                <w:color w:val="000000"/>
                <w:sz w:val="24"/>
              </w:rPr>
              <w:t>i</w:t>
            </w:r>
            <w:r>
              <w:rPr>
                <w:rFonts w:hint="eastAsia"/>
                <w:color w:val="000000"/>
                <w:sz w:val="24"/>
              </w:rPr>
              <w:t>表示每个像素的索引（I</w:t>
            </w:r>
            <w:r>
              <w:rPr>
                <w:color w:val="000000"/>
                <w:sz w:val="24"/>
              </w:rPr>
              <w:t>=1</w:t>
            </w:r>
            <w:r>
              <w:rPr>
                <w:rFonts w:hint="eastAsia"/>
                <w:color w:val="000000"/>
                <w:sz w:val="24"/>
              </w:rPr>
              <w:t>，</w:t>
            </w:r>
            <w:r>
              <w:rPr>
                <w:color w:val="000000"/>
                <w:sz w:val="24"/>
              </w:rPr>
              <w:t>2</w:t>
            </w:r>
            <w:r>
              <w:rPr>
                <w:rFonts w:hint="eastAsia"/>
                <w:color w:val="000000"/>
                <w:sz w:val="24"/>
              </w:rPr>
              <w:t>，</w:t>
            </w:r>
            <w:r>
              <w:rPr>
                <w:color w:val="000000"/>
                <w:sz w:val="24"/>
              </w:rPr>
              <w:t>3</w:t>
            </w:r>
            <w:r>
              <w:rPr>
                <w:rFonts w:hint="eastAsia"/>
                <w:color w:val="000000"/>
                <w:sz w:val="24"/>
              </w:rPr>
              <w:t>，</w:t>
            </w:r>
            <w:r>
              <w:rPr>
                <w:color w:val="000000"/>
                <w:sz w:val="24"/>
              </w:rPr>
              <w:t>...</w:t>
            </w:r>
            <w:r>
              <w:rPr>
                <w:rFonts w:hint="eastAsia"/>
                <w:color w:val="000000"/>
                <w:sz w:val="24"/>
              </w:rPr>
              <w:t>，</w:t>
            </w:r>
            <w:r>
              <w:rPr>
                <w:color w:val="000000"/>
                <w:sz w:val="24"/>
              </w:rPr>
              <w:t>N</w:t>
            </w:r>
            <w:r>
              <w:rPr>
                <w:rFonts w:hint="eastAsia"/>
                <w:color w:val="000000"/>
                <w:sz w:val="24"/>
              </w:rPr>
              <w:t>）；</w:t>
            </w:r>
            <w:r>
              <w:rPr>
                <w:i/>
                <w:iCs/>
                <w:color w:val="000000"/>
                <w:sz w:val="24"/>
              </w:rPr>
              <w:t>S</w:t>
            </w:r>
            <w:r>
              <w:rPr>
                <w:rFonts w:hint="eastAsia"/>
                <w:color w:val="000000"/>
                <w:sz w:val="24"/>
              </w:rPr>
              <w:t>是平滑项以防止分母为0。</w:t>
            </w:r>
          </w:p>
          <w:p>
            <w:pPr>
              <w:spacing w:line="312" w:lineRule="auto"/>
              <w:ind w:firstLine="480" w:firstLineChars="200"/>
              <w:rPr>
                <w:color w:val="000000"/>
                <w:sz w:val="24"/>
              </w:rPr>
            </w:pPr>
            <w:r>
              <w:rPr>
                <w:rFonts w:hint="eastAsia"/>
                <w:color w:val="000000"/>
                <w:sz w:val="24"/>
              </w:rPr>
              <w:t>类别不平衡和样本数量有限是医学图像分类中的常见问题。例如，在我们的胶质瘤训练数据集中，IDH野生胶质瘤的数量大约是IDH突变胶质瘤的1</w:t>
            </w:r>
            <w:r>
              <w:rPr>
                <w:color w:val="000000"/>
                <w:sz w:val="24"/>
              </w:rPr>
              <w:t>.5</w:t>
            </w:r>
            <w:r>
              <w:rPr>
                <w:rFonts w:hint="eastAsia"/>
                <w:color w:val="000000"/>
                <w:sz w:val="24"/>
              </w:rPr>
              <w:t>倍，可用样本的数量有限。为了补偿这些问题，我们采用了一种改进的加权交叉熵损失作为分类损失函数，如公式（2</w:t>
            </w:r>
            <w:r>
              <w:rPr>
                <w:color w:val="000000"/>
                <w:sz w:val="24"/>
              </w:rPr>
              <w:t>-4</w:t>
            </w:r>
            <w:r>
              <w:rPr>
                <w:rFonts w:hint="eastAsia"/>
                <w:color w:val="000000"/>
                <w:sz w:val="24"/>
              </w:rPr>
              <w:t>）所示。</w:t>
            </w:r>
          </w:p>
          <w:p>
            <w:pPr>
              <w:spacing w:line="312" w:lineRule="auto"/>
              <w:ind w:firstLine="480" w:firstLineChars="200"/>
              <w:rPr>
                <w:color w:val="000000"/>
                <w:sz w:val="24"/>
              </w:rPr>
            </w:pPr>
            <m:oMathPara>
              <m:oMath>
                <m:eqArr>
                  <m:eqArrPr>
                    <m:maxDist m:val="1"/>
                    <m:ctrlPr>
                      <w:rPr>
                        <w:rFonts w:ascii="Cambria Math" w:hAnsi="Cambria Math" w:eastAsia="Cambria Math"/>
                        <w:i/>
                        <w:color w:val="000000"/>
                        <w:sz w:val="24"/>
                      </w:rPr>
                    </m:ctrlPr>
                  </m:eqArr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Theme="minorEastAsia"/>
                            <w:color w:val="000000"/>
                            <w:sz w:val="24"/>
                          </w:rPr>
                          <m:t>id</m:t>
                        </m:r>
                        <m:r>
                          <m:rPr>
                            <m:sty m:val="p"/>
                          </m:rPr>
                          <w:rPr>
                            <w:rFonts w:ascii="Cambria Math" w:hAnsi="Cambria Math" w:eastAsia="MS Gothic"/>
                            <w:color w:val="000000"/>
                            <w:sz w:val="24"/>
                          </w:rPr>
                          <m:t>h</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f>
                      <m:fPr>
                        <m:ctrlPr>
                          <w:rPr>
                            <w:rFonts w:ascii="Cambria Math" w:hAnsi="Cambria Math" w:eastAsia="Cambria Math"/>
                            <w:iCs/>
                            <w:color w:val="000000"/>
                            <w:sz w:val="24"/>
                          </w:rPr>
                        </m:ctrlPr>
                      </m:fPr>
                      <m:num>
                        <m:r>
                          <m:rPr>
                            <m:sty m:val="p"/>
                          </m:rPr>
                          <w:rPr>
                            <w:rFonts w:ascii="Cambria Math" w:hAnsi="Cambria Math" w:eastAsia="Cambria Math"/>
                            <w:color w:val="000000"/>
                            <w:sz w:val="24"/>
                          </w:rPr>
                          <m:t>1</m:t>
                        </m:r>
                        <m:ctrlPr>
                          <w:rPr>
                            <w:rFonts w:ascii="Cambria Math" w:hAnsi="Cambria Math" w:eastAsia="Cambria Math"/>
                            <w:iCs/>
                            <w:color w:val="000000"/>
                            <w:sz w:val="24"/>
                          </w:rPr>
                        </m:ctrlPr>
                      </m:num>
                      <m:den>
                        <m:r>
                          <m:rPr>
                            <m:sty m:val="p"/>
                          </m:rPr>
                          <w:rPr>
                            <w:rFonts w:ascii="Cambria Math" w:hAnsi="Cambria Math" w:eastAsia="Cambria Math"/>
                            <w:color w:val="000000"/>
                            <w:sz w:val="24"/>
                          </w:rPr>
                          <m:t>N</m:t>
                        </m:r>
                        <m:ctrlPr>
                          <w:rPr>
                            <w:rFonts w:ascii="Cambria Math" w:hAnsi="Cambria Math" w:eastAsia="Cambria Math"/>
                            <w:iCs/>
                            <w:color w:val="000000"/>
                            <w:sz w:val="24"/>
                          </w:rPr>
                        </m:ctrlPr>
                      </m:den>
                    </m:f>
                    <m:nary>
                      <m:naryPr>
                        <m:chr m:val="∑"/>
                        <m:limLoc m:val="undOvr"/>
                        <m:ctrlPr>
                          <w:rPr>
                            <w:rFonts w:ascii="Cambria Math" w:hAnsi="Cambria Math" w:eastAsia="Cambria Math"/>
                            <w:iCs/>
                            <w:color w:val="000000"/>
                            <w:sz w:val="24"/>
                          </w:rPr>
                        </m:ctrlPr>
                      </m:naryPr>
                      <m:sub>
                        <m:r>
                          <m:rPr>
                            <m:sty m:val="p"/>
                          </m:rPr>
                          <w:rPr>
                            <w:rFonts w:ascii="Cambria Math" w:hAnsi="Cambria Math" w:eastAsia="Cambria Math"/>
                            <w:color w:val="000000"/>
                            <w:sz w:val="24"/>
                          </w:rPr>
                          <m:t>i=1</m:t>
                        </m:r>
                        <m:ctrlPr>
                          <w:rPr>
                            <w:rFonts w:ascii="Cambria Math" w:hAnsi="Cambria Math" w:eastAsia="Cambria Math"/>
                            <w:iCs/>
                            <w:color w:val="000000"/>
                            <w:sz w:val="24"/>
                          </w:rPr>
                        </m:ctrlPr>
                      </m:sub>
                      <m:sup>
                        <m:r>
                          <m:rPr>
                            <m:sty m:val="p"/>
                          </m:rPr>
                          <w:rPr>
                            <w:rFonts w:ascii="Cambria Math" w:hAnsi="Cambria Math" w:eastAsia="Cambria Math"/>
                            <w:color w:val="000000"/>
                            <w:sz w:val="24"/>
                          </w:rPr>
                          <m:t>N</m:t>
                        </m:r>
                        <m:ctrlPr>
                          <w:rPr>
                            <w:rFonts w:ascii="Cambria Math" w:hAnsi="Cambria Math" w:eastAsia="Cambria Math"/>
                            <w:iCs/>
                            <w:color w:val="000000"/>
                            <w:sz w:val="24"/>
                          </w:rPr>
                        </m:ctrlPr>
                      </m:sup>
                      <m:e>
                        <m:nary>
                          <m:naryPr>
                            <m:chr m:val="∑"/>
                            <m:limLoc m:val="undOvr"/>
                            <m:ctrlPr>
                              <w:rPr>
                                <w:rFonts w:ascii="Cambria Math" w:hAnsi="Cambria Math" w:eastAsia="Cambria Math"/>
                                <w:iCs/>
                                <w:color w:val="000000"/>
                                <w:sz w:val="24"/>
                              </w:rPr>
                            </m:ctrlPr>
                          </m:naryPr>
                          <m:sub>
                            <m:r>
                              <m:rPr>
                                <m:sty m:val="p"/>
                              </m:rPr>
                              <w:rPr>
                                <w:rFonts w:ascii="Cambria Math" w:hAnsi="Cambria Math" w:eastAsia="Cambria Math"/>
                                <w:color w:val="000000"/>
                                <w:sz w:val="24"/>
                              </w:rPr>
                              <m:t>c=1</m:t>
                            </m:r>
                            <m:ctrlPr>
                              <w:rPr>
                                <w:rFonts w:ascii="Cambria Math" w:hAnsi="Cambria Math" w:eastAsia="Cambria Math"/>
                                <w:iCs/>
                                <w:color w:val="000000"/>
                                <w:sz w:val="24"/>
                              </w:rPr>
                            </m:ctrlPr>
                          </m:sub>
                          <m:sup>
                            <m:r>
                              <m:rPr>
                                <m:sty m:val="p"/>
                              </m:rPr>
                              <w:rPr>
                                <w:rFonts w:ascii="Cambria Math" w:hAnsi="Cambria Math" w:eastAsia="Cambria Math"/>
                                <w:color w:val="000000"/>
                                <w:sz w:val="24"/>
                              </w:rPr>
                              <m:t>C</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w</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func>
                              <m:funcPr>
                                <m:ctrlPr>
                                  <w:rPr>
                                    <w:rFonts w:ascii="Cambria Math" w:hAnsi="Cambria Math" w:eastAsia="Cambria Math"/>
                                    <w:iCs/>
                                    <w:color w:val="000000"/>
                                    <w:sz w:val="24"/>
                                  </w:rPr>
                                </m:ctrlPr>
                              </m:funcPr>
                              <m:fName>
                                <m:r>
                                  <m:rPr>
                                    <m:sty m:val="p"/>
                                  </m:rPr>
                                  <w:rPr>
                                    <w:rFonts w:ascii="Cambria Math" w:hAnsi="Cambria Math" w:eastAsia="Cambria Math"/>
                                    <w:color w:val="000000"/>
                                    <w:sz w:val="24"/>
                                  </w:rPr>
                                  <m:t>log</m:t>
                                </m:r>
                                <m:ctrlPr>
                                  <w:rPr>
                                    <w:rFonts w:ascii="Cambria Math" w:hAnsi="Cambria Math" w:eastAsia="Cambria Math"/>
                                    <w:iCs/>
                                    <w:color w:val="000000"/>
                                    <w:sz w:val="24"/>
                                  </w:rPr>
                                </m:ctrlPr>
                              </m:fName>
                              <m:e>
                                <m:d>
                                  <m:dPr>
                                    <m:ctrlPr>
                                      <w:rPr>
                                        <w:rFonts w:ascii="Cambria Math" w:hAnsi="Cambria Math" w:eastAsia="Cambria Math"/>
                                        <w:iCs/>
                                        <w:color w:val="000000"/>
                                        <w:sz w:val="24"/>
                                      </w:rPr>
                                    </m:ctrlPr>
                                  </m:d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ctrlPr>
                                      <w:rPr>
                                        <w:rFonts w:ascii="Cambria Math" w:hAnsi="Cambria Math" w:eastAsia="Cambria Math"/>
                                        <w:iCs/>
                                        <w:color w:val="000000"/>
                                        <w:sz w:val="24"/>
                                      </w:rPr>
                                    </m:ctrlPr>
                                  </m:e>
                                </m:d>
                                <m:ctrlPr>
                                  <w:rPr>
                                    <w:rFonts w:ascii="Cambria Math" w:hAnsi="Cambria Math" w:eastAsia="Cambria Math"/>
                                    <w:iCs/>
                                    <w:color w:val="000000"/>
                                    <w:sz w:val="24"/>
                                  </w:rPr>
                                </m:ctrlPr>
                              </m:e>
                            </m:func>
                            <m:ctrlPr>
                              <w:rPr>
                                <w:rFonts w:ascii="Cambria Math" w:hAnsi="Cambria Math" w:eastAsia="Cambria Math"/>
                                <w:iCs/>
                                <w:color w:val="000000"/>
                                <w:sz w:val="24"/>
                              </w:rPr>
                            </m:ctrlPr>
                          </m:e>
                        </m:nary>
                        <m:ctrlPr>
                          <w:rPr>
                            <w:rFonts w:ascii="Cambria Math" w:hAnsi="Cambria Math" w:eastAsia="Cambria Math"/>
                            <w:iCs/>
                            <w:color w:val="000000"/>
                            <w:sz w:val="24"/>
                          </w:rPr>
                        </m:ctrlPr>
                      </m:e>
                    </m:nary>
                    <m:r>
                      <m:rPr/>
                      <w:rPr>
                        <w:rFonts w:ascii="Cambria Math" w:hAnsi="Cambria Math" w:eastAsia="Cambria Math"/>
                        <w:color w:val="000000"/>
                        <w:sz w:val="24"/>
                      </w:rPr>
                      <m:t>#</m:t>
                    </m:r>
                    <m:d>
                      <m:dPr>
                        <m:ctrlPr>
                          <w:rPr>
                            <w:rFonts w:ascii="Cambria Math" w:hAnsi="Cambria Math" w:eastAsia="Cambria Math"/>
                            <w:i/>
                            <w:color w:val="000000"/>
                            <w:sz w:val="24"/>
                          </w:rPr>
                        </m:ctrlPr>
                      </m:dPr>
                      <m:e>
                        <m:r>
                          <m:rPr>
                            <m:nor/>
                            <m:sty m:val="p"/>
                          </m:rPr>
                          <w:rPr>
                            <w:rFonts w:eastAsia="Cambria Math"/>
                            <w:b w:val="0"/>
                            <w:i w:val="0"/>
                            <w:color w:val="000000"/>
                            <w:sz w:val="24"/>
                          </w:rPr>
                          <m:t>2-4</m:t>
                        </m:r>
                        <m:ctrlPr>
                          <w:rPr>
                            <w:rFonts w:ascii="Cambria Math" w:hAnsi="Cambria Math" w:eastAsia="Cambria Math"/>
                            <w:i/>
                            <w:color w:val="000000"/>
                            <w:sz w:val="24"/>
                          </w:rPr>
                        </m:ctrlPr>
                      </m:e>
                    </m:d>
                    <m:ctrlPr>
                      <w:rPr>
                        <w:rFonts w:ascii="Cambria Math" w:hAnsi="Cambria Math" w:eastAsia="Cambria Math"/>
                        <w:i/>
                        <w:color w:val="000000"/>
                        <w:sz w:val="24"/>
                      </w:rPr>
                    </m:ctrlPr>
                  </m:e>
                </m:eqArr>
              </m:oMath>
            </m:oMathPara>
          </w:p>
          <w:p>
            <w:pPr>
              <w:spacing w:line="312" w:lineRule="auto"/>
              <w:rPr>
                <w:color w:val="000000"/>
                <w:sz w:val="24"/>
              </w:rPr>
            </w:pPr>
            <w:r>
              <w:rPr>
                <w:rFonts w:hint="eastAsia"/>
                <w:color w:val="000000"/>
                <w:sz w:val="24"/>
              </w:rPr>
              <w:t>式中，</w:t>
            </w:r>
            <w:r>
              <w:rPr>
                <w:rFonts w:hint="eastAsia"/>
                <w:i/>
                <w:iCs/>
                <w:color w:val="000000"/>
                <w:sz w:val="24"/>
              </w:rPr>
              <w:t>y</w:t>
            </w:r>
            <w:r>
              <w:rPr>
                <w:i/>
                <w:iCs/>
                <w:color w:val="000000"/>
                <w:sz w:val="24"/>
                <w:vertAlign w:val="subscript"/>
              </w:rPr>
              <w:t>c</w:t>
            </w:r>
            <w:r>
              <w:rPr>
                <w:rFonts w:hint="eastAsia"/>
                <w:color w:val="000000"/>
                <w:sz w:val="24"/>
              </w:rPr>
              <w:t>和</w:t>
            </w:r>
            <w:r>
              <w:rPr>
                <w:rFonts w:hint="eastAsia"/>
                <w:i/>
                <w:iCs/>
                <w:color w:val="000000"/>
                <w:sz w:val="24"/>
              </w:rPr>
              <w:t>p</w:t>
            </w:r>
            <w:r>
              <w:rPr>
                <w:rFonts w:hint="eastAsia"/>
                <w:i/>
                <w:iCs/>
                <w:color w:val="000000"/>
                <w:sz w:val="24"/>
                <w:vertAlign w:val="subscript"/>
              </w:rPr>
              <w:t>c</w:t>
            </w:r>
            <w:r>
              <w:rPr>
                <w:rFonts w:hint="eastAsia"/>
                <w:color w:val="000000"/>
                <w:sz w:val="24"/>
              </w:rPr>
              <w:t>分别是样本的IDH基因型的真值和网络的预测概率，</w:t>
            </w:r>
            <w:r>
              <w:rPr>
                <w:rFonts w:hint="eastAsia"/>
                <w:i/>
                <w:iCs/>
                <w:color w:val="000000"/>
                <w:sz w:val="24"/>
              </w:rPr>
              <w:t>w</w:t>
            </w:r>
            <w:r>
              <w:rPr>
                <w:rFonts w:hint="eastAsia"/>
                <w:i/>
                <w:iCs/>
                <w:color w:val="000000"/>
                <w:sz w:val="24"/>
                <w:vertAlign w:val="subscript"/>
              </w:rPr>
              <w:t>c</w:t>
            </w:r>
            <w:r>
              <w:rPr>
                <w:rFonts w:hint="eastAsia"/>
                <w:color w:val="000000"/>
                <w:sz w:val="24"/>
              </w:rPr>
              <w:t>是类别</w:t>
            </w:r>
            <w:r>
              <w:rPr>
                <w:rFonts w:hint="eastAsia"/>
                <w:i/>
                <w:iCs/>
                <w:color w:val="000000"/>
                <w:sz w:val="24"/>
              </w:rPr>
              <w:t>c</w:t>
            </w:r>
            <w:r>
              <w:rPr>
                <w:rFonts w:hint="eastAsia"/>
                <w:color w:val="000000"/>
                <w:sz w:val="24"/>
              </w:rPr>
              <w:t>的类别权重，</w:t>
            </w:r>
            <w:r>
              <w:rPr>
                <w:rFonts w:hint="eastAsia"/>
                <w:i/>
                <w:iCs/>
                <w:color w:val="000000"/>
                <w:sz w:val="24"/>
              </w:rPr>
              <w:t>N</w:t>
            </w:r>
            <w:r>
              <w:rPr>
                <w:rFonts w:hint="eastAsia"/>
                <w:color w:val="000000"/>
                <w:sz w:val="24"/>
              </w:rPr>
              <w:t>代表类别数。</w:t>
            </w:r>
          </w:p>
          <w:p>
            <w:pPr>
              <w:spacing w:line="312" w:lineRule="auto"/>
              <w:ind w:firstLine="480" w:firstLineChars="200"/>
              <w:rPr>
                <w:color w:val="000000"/>
                <w:sz w:val="24"/>
              </w:rPr>
            </w:pPr>
            <w:r>
              <w:rPr>
                <w:rFonts w:hint="eastAsia"/>
                <w:color w:val="000000"/>
                <w:sz w:val="24"/>
              </w:rPr>
              <w:t>分割损失和分类损失被联合执行以优化多任务学习网络。然而，当任务权重设置不合适时，多任务学习可能会导致任务偏差，当采用手动调节任务权重的参数时，是一个很繁琐的过程。为了减轻这种多任务学习的负面影响，本课题采用了一种基于不确定性的方法，如公式（2</w:t>
            </w:r>
            <w:r>
              <w:rPr>
                <w:color w:val="000000"/>
                <w:sz w:val="24"/>
              </w:rPr>
              <w:t>-5</w:t>
            </w:r>
            <w:r>
              <w:rPr>
                <w:rFonts w:hint="eastAsia"/>
                <w:color w:val="000000"/>
                <w:sz w:val="24"/>
              </w:rPr>
              <w:t>）所示，该方法可以自适应地调整权重以对胶质瘤分割和IDH基因分类损失进行加权。</w:t>
            </w:r>
          </w:p>
          <w:p>
            <w:pPr>
              <w:spacing w:line="312" w:lineRule="auto"/>
              <w:rPr>
                <w:iCs/>
                <w:color w:val="000000"/>
                <w:sz w:val="24"/>
              </w:rPr>
            </w:pPr>
            <m:oMathPara>
              <m:oMath>
                <m:eqArr>
                  <m:eqArrPr>
                    <m:maxDist m:val="1"/>
                    <m:ctrlPr>
                      <w:rPr>
                        <w:rFonts w:ascii="Cambria Math" w:hAnsi="Cambria Math"/>
                        <w:iCs/>
                        <w:color w:val="000000"/>
                        <w:sz w:val="24"/>
                      </w:rPr>
                    </m:ctrlPr>
                  </m:eqArrPr>
                  <m:e>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total</m:t>
                        </m:r>
                        <m:ctrlPr>
                          <w:rPr>
                            <w:rFonts w:ascii="Cambria Math" w:hAnsi="Cambria Math"/>
                            <w:iCs/>
                            <w:color w:val="000000"/>
                            <w:sz w:val="24"/>
                          </w:rPr>
                        </m:ctrlPr>
                      </m:sub>
                    </m:sSub>
                    <m:r>
                      <m:rPr>
                        <m:sty m:val="p"/>
                      </m:rPr>
                      <w:rPr>
                        <w:rFonts w:ascii="Cambria Math" w:hAnsi="Cambria Math"/>
                        <w:color w:val="000000"/>
                        <w:sz w:val="24"/>
                      </w:rPr>
                      <m:t>=</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2</m:t>
                        </m:r>
                        <m:sSubSup>
                          <m:sSubSupPr>
                            <m:ctrlPr>
                              <w:rPr>
                                <w:rFonts w:ascii="Cambria Math" w:hAnsi="Cambria Math"/>
                                <w:iCs/>
                                <w:color w:val="000000"/>
                                <w:sz w:val="24"/>
                              </w:rPr>
                            </m:ctrlPr>
                          </m:sSubSup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up>
                            <m:r>
                              <m:rPr>
                                <m:sty m:val="p"/>
                              </m:rPr>
                              <w:rPr>
                                <w:rFonts w:ascii="Cambria Math" w:hAnsi="Cambria Math"/>
                                <w:color w:val="000000"/>
                                <w:sz w:val="24"/>
                              </w:rPr>
                              <m:t>2</m:t>
                            </m:r>
                            <m:ctrlPr>
                              <w:rPr>
                                <w:rFonts w:ascii="Cambria Math" w:hAnsi="Cambria Math"/>
                                <w:iCs/>
                                <w:color w:val="000000"/>
                                <w:sz w:val="24"/>
                              </w:rPr>
                            </m:ctrlPr>
                          </m:sup>
                        </m:sSubSup>
                        <m:ctrlPr>
                          <w:rPr>
                            <w:rFonts w:ascii="Cambria Math" w:hAnsi="Cambria Math"/>
                            <w:iCs/>
                            <w:color w:val="000000"/>
                            <w:sz w:val="24"/>
                          </w:rPr>
                        </m:ctrlPr>
                      </m:den>
                    </m:f>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Sub>
                    <m:r>
                      <m:rPr>
                        <m:sty m:val="p"/>
                      </m:rPr>
                      <w:rPr>
                        <w:rFonts w:ascii="Cambria Math" w:hAnsi="Cambria Math"/>
                        <w:color w:val="000000"/>
                        <w:sz w:val="24"/>
                      </w:rPr>
                      <m:t>+</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2</m:t>
                        </m:r>
                        <m:sSubSup>
                          <m:sSubSupPr>
                            <m:ctrlPr>
                              <w:rPr>
                                <w:rFonts w:ascii="Cambria Math" w:hAnsi="Cambria Math"/>
                                <w:iCs/>
                                <w:color w:val="000000"/>
                                <w:sz w:val="24"/>
                              </w:rPr>
                            </m:ctrlPr>
                          </m:sSubSup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up>
                            <m:r>
                              <m:rPr>
                                <m:sty m:val="p"/>
                              </m:rPr>
                              <w:rPr>
                                <w:rFonts w:ascii="Cambria Math" w:hAnsi="Cambria Math"/>
                                <w:color w:val="000000"/>
                                <w:sz w:val="24"/>
                              </w:rPr>
                              <m:t>2</m:t>
                            </m:r>
                            <m:ctrlPr>
                              <w:rPr>
                                <w:rFonts w:ascii="Cambria Math" w:hAnsi="Cambria Math"/>
                                <w:iCs/>
                                <w:color w:val="000000"/>
                                <w:sz w:val="24"/>
                              </w:rPr>
                            </m:ctrlPr>
                          </m:sup>
                        </m:sSubSup>
                        <m:ctrlPr>
                          <w:rPr>
                            <w:rFonts w:ascii="Cambria Math" w:hAnsi="Cambria Math"/>
                            <w:iCs/>
                            <w:color w:val="000000"/>
                            <w:sz w:val="24"/>
                          </w:rPr>
                        </m:ctrlPr>
                      </m:den>
                    </m:f>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Sub>
                    <m:r>
                      <m:rPr>
                        <m:sty m:val="p"/>
                      </m:rPr>
                      <w:rPr>
                        <w:rFonts w:ascii="Cambria Math" w:hAnsi="Cambria Math"/>
                        <w:color w:val="000000"/>
                        <w:sz w:val="24"/>
                      </w:rPr>
                      <m:t>+log</m:t>
                    </m:r>
                    <m:sSub>
                      <m:sSubPr>
                        <m:ctrlPr>
                          <w:rPr>
                            <w:rFonts w:ascii="Cambria Math" w:hAnsi="Cambria Math"/>
                            <w:iCs/>
                            <w:color w:val="000000"/>
                            <w:sz w:val="24"/>
                          </w:rPr>
                        </m:ctrlPr>
                      </m:sSub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Sub>
                    <m:r>
                      <m:rPr>
                        <m:sty m:val="p"/>
                      </m:rPr>
                      <w:rPr>
                        <w:rFonts w:ascii="Cambria Math" w:hAnsi="Cambria Math"/>
                        <w:color w:val="000000"/>
                        <w:sz w:val="24"/>
                      </w:rPr>
                      <m:t>log</m:t>
                    </m:r>
                    <m:sSub>
                      <m:sSubPr>
                        <m:ctrlPr>
                          <w:rPr>
                            <w:rFonts w:ascii="Cambria Math" w:hAnsi="Cambria Math"/>
                            <w:iCs/>
                            <w:color w:val="000000"/>
                            <w:sz w:val="24"/>
                          </w:rPr>
                        </m:ctrlPr>
                      </m:sSub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Sub>
                    <m:r>
                      <m:rPr>
                        <m:sty m:val="p"/>
                      </m:rPr>
                      <w:rPr>
                        <w:rFonts w:ascii="Cambria Math" w:hAnsi="Cambria Math"/>
                        <w:color w:val="000000"/>
                        <w:sz w:val="24"/>
                      </w:rPr>
                      <m:t>#</m:t>
                    </m:r>
                    <m:r>
                      <m:rPr>
                        <m:nor/>
                        <m:sty m:val="p"/>
                      </m:rPr>
                      <w:rPr>
                        <w:b w:val="0"/>
                        <w:i w:val="0"/>
                        <w:color w:val="000000"/>
                        <w:sz w:val="24"/>
                      </w:rPr>
                      <m:t>(2-5)</m:t>
                    </m:r>
                    <m:ctrlPr>
                      <w:rPr>
                        <w:rFonts w:ascii="Cambria Math" w:hAnsi="Cambria Math"/>
                        <w:iCs/>
                        <w:color w:val="000000"/>
                        <w:sz w:val="24"/>
                      </w:rPr>
                    </m:ctrlPr>
                  </m:e>
                </m:eqArr>
              </m:oMath>
            </m:oMathPara>
          </w:p>
          <w:p>
            <w:pPr>
              <w:spacing w:line="312" w:lineRule="auto"/>
              <w:rPr>
                <w:b/>
                <w:bCs/>
                <w:sz w:val="24"/>
              </w:rPr>
            </w:pPr>
            <w:r>
              <w:rPr>
                <w:color w:val="000000"/>
                <w:sz w:val="24"/>
              </w:rPr>
              <w:t>式中，σ</w:t>
            </w:r>
            <w:r>
              <w:rPr>
                <w:color w:val="000000"/>
                <w:sz w:val="24"/>
                <w:vertAlign w:val="subscript"/>
              </w:rPr>
              <w:t>seg</w:t>
            </w:r>
            <w:r>
              <w:rPr>
                <w:color w:val="000000"/>
                <w:sz w:val="24"/>
              </w:rPr>
              <w:t>和σ</w:t>
            </w:r>
            <w:r>
              <w:rPr>
                <w:rFonts w:hint="eastAsia"/>
                <w:color w:val="000000"/>
                <w:sz w:val="24"/>
                <w:vertAlign w:val="subscript"/>
              </w:rPr>
              <w:t>idh</w:t>
            </w:r>
            <w:r>
              <w:rPr>
                <w:color w:val="000000"/>
                <w:sz w:val="24"/>
              </w:rPr>
              <w:t>是网络学习的不确定权重的可学习参数，在实践中，首先初始化两个值的张量，然后在训练阶段通过迭代自适应更新。</w:t>
            </w:r>
          </w:p>
          <w:p>
            <w:pPr>
              <w:spacing w:line="312" w:lineRule="auto"/>
              <w:rPr>
                <w:b/>
                <w:bCs/>
                <w:sz w:val="24"/>
              </w:rPr>
            </w:pPr>
            <w:r>
              <w:rPr>
                <w:rFonts w:hint="eastAsia"/>
                <w:b/>
                <w:bCs/>
                <w:sz w:val="24"/>
              </w:rPr>
              <w:t>2</w:t>
            </w:r>
            <w:r>
              <w:rPr>
                <w:b/>
                <w:bCs/>
                <w:sz w:val="24"/>
              </w:rPr>
              <w:t>.5</w:t>
            </w:r>
            <w:r>
              <w:rPr>
                <w:rFonts w:hint="eastAsia"/>
                <w:b/>
                <w:bCs/>
                <w:sz w:val="24"/>
              </w:rPr>
              <w:t>多模态M</w:t>
            </w:r>
            <w:r>
              <w:rPr>
                <w:b/>
                <w:bCs/>
                <w:sz w:val="24"/>
              </w:rPr>
              <w:t>RI</w:t>
            </w:r>
            <w:r>
              <w:rPr>
                <w:rFonts w:hint="eastAsia"/>
                <w:b/>
                <w:bCs/>
                <w:sz w:val="24"/>
              </w:rPr>
              <w:t>影像信息融合的算法研究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计算机视觉领域中，异构和高维数据的集成变得越来越重要。多模态医学影像因能提供有关目标的多信息从而在医学影像中被广泛利用。然而，传统方法在提供可靠的多模态融合方面基本上是薄弱的，尤其是在安全关键应用（例如，医疗诊断）方面，无法有效去除多模态冗余的信息。医学影像由于不同仪器、序列导致数据间中心差异大、多模态特征间的关系复杂，数据之间的分布变化导致在部署经过训练的分割模型期间严重的性能退化。这激励我们以更具有泛化性能的方式利用多模态信息，产生值得信赖的多模态融合。</w:t>
            </w:r>
          </w:p>
          <w:p>
            <w:pPr>
              <w:spacing w:line="312" w:lineRule="auto"/>
              <w:ind w:firstLine="480" w:firstLineChars="200"/>
              <w:rPr>
                <w:color w:val="000000"/>
                <w:sz w:val="24"/>
              </w:rPr>
            </w:pPr>
            <w:r>
              <w:rPr>
                <w:rFonts w:hint="eastAsia"/>
                <w:color w:val="000000"/>
                <w:sz w:val="24"/>
              </w:rPr>
              <w:t>对于上述表示，本课题采用了一种c</w:t>
            </w:r>
            <w:r>
              <w:rPr>
                <w:color w:val="000000"/>
                <w:sz w:val="24"/>
              </w:rPr>
              <w:t xml:space="preserve">hannel </w:t>
            </w:r>
            <w:r>
              <w:rPr>
                <w:rFonts w:hint="eastAsia"/>
                <w:color w:val="000000"/>
                <w:sz w:val="24"/>
              </w:rPr>
              <w:t>e</w:t>
            </w:r>
            <w:r>
              <w:rPr>
                <w:color w:val="000000"/>
                <w:sz w:val="24"/>
              </w:rPr>
              <w:t>xchanging</w:t>
            </w:r>
            <w:r>
              <w:rPr>
                <w:rFonts w:hint="eastAsia"/>
                <w:color w:val="000000"/>
                <w:sz w:val="24"/>
              </w:rPr>
              <w:t>网络，它具有自适应性、无参数性，如图5所示为本课题拟采用的网络结构图。本课题采用Res</w:t>
            </w:r>
            <w:r>
              <w:rPr>
                <w:color w:val="000000"/>
                <w:sz w:val="24"/>
              </w:rPr>
              <w:t>N</w:t>
            </w:r>
            <w:r>
              <w:rPr>
                <w:rFonts w:hint="eastAsia"/>
                <w:color w:val="000000"/>
                <w:sz w:val="24"/>
              </w:rPr>
              <w:t>et</w:t>
            </w:r>
            <w:r>
              <w:rPr>
                <w:color w:val="000000"/>
                <w:sz w:val="24"/>
              </w:rPr>
              <w:t>-18</w:t>
            </w:r>
            <w:r>
              <w:rPr>
                <w:rFonts w:hint="eastAsia"/>
                <w:color w:val="000000"/>
                <w:sz w:val="24"/>
              </w:rPr>
              <w:t>作为主干网络来挖掘医学影像中肿瘤的特征，设置孪生网络架构作为提取特征总结构。将主干网络中的每个stage利用channel</w:t>
            </w:r>
            <w:r>
              <w:rPr>
                <w:color w:val="000000"/>
                <w:sz w:val="24"/>
              </w:rPr>
              <w:t xml:space="preserve"> </w:t>
            </w:r>
            <w:r>
              <w:rPr>
                <w:rFonts w:hint="eastAsia"/>
                <w:color w:val="000000"/>
                <w:sz w:val="24"/>
              </w:rPr>
              <w:t>exchanging对每个阶段不同模态特征融合。在分割任务中，随着网络层的加深，不同尺度的特征图之间的不一致性越来越明显，Refine</w:t>
            </w:r>
            <w:r>
              <w:rPr>
                <w:color w:val="000000"/>
                <w:sz w:val="24"/>
              </w:rPr>
              <w:t>-</w:t>
            </w:r>
            <w:r>
              <w:rPr>
                <w:rFonts w:hint="eastAsia"/>
                <w:color w:val="000000"/>
                <w:sz w:val="24"/>
              </w:rPr>
              <w:t>Net通过一系列子模块</w:t>
            </w:r>
            <w:r>
              <w:rPr>
                <w:color w:val="000000"/>
                <w:sz w:val="24"/>
              </w:rPr>
              <w:t>把不同分辨率的</w:t>
            </w:r>
            <w:r>
              <w:rPr>
                <w:rFonts w:hint="eastAsia"/>
                <w:color w:val="000000"/>
                <w:sz w:val="24"/>
              </w:rPr>
              <w:t>特征进行细化和融合，显式的利用了下采样过程的所有信息，使用远程残差连接来实现高分辨率的预测。在分类任务中，将第4个stage提取的特征使用双线性池化进行特征向量融合。</w:t>
            </w:r>
          </w:p>
          <w:p>
            <w:pPr>
              <w:spacing w:line="312" w:lineRule="auto"/>
              <w:rPr>
                <w:color w:val="000000"/>
                <w:sz w:val="24"/>
              </w:rPr>
            </w:pPr>
            <w:r>
              <w:rPr>
                <w:color w:val="000000"/>
                <w:sz w:val="24"/>
              </w:rPr>
              <w:drawing>
                <wp:inline distT="0" distB="0" distL="0" distR="0">
                  <wp:extent cx="5623560" cy="3138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623560" cy="31381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5 </w:t>
            </w:r>
            <w:r>
              <w:rPr>
                <w:rFonts w:hint="eastAsia" w:eastAsia="黑体"/>
                <w:color w:val="000000"/>
                <w:szCs w:val="21"/>
              </w:rPr>
              <w:t>多模态融合总框架图</w:t>
            </w:r>
          </w:p>
          <w:p>
            <w:pPr>
              <w:spacing w:line="312" w:lineRule="auto"/>
              <w:ind w:firstLine="480" w:firstLineChars="200"/>
              <w:rPr>
                <w:color w:val="000000"/>
                <w:sz w:val="24"/>
              </w:rPr>
            </w:pPr>
            <w:r>
              <w:rPr>
                <w:rFonts w:hint="eastAsia"/>
                <w:color w:val="000000"/>
                <w:sz w:val="24"/>
              </w:rPr>
              <w:t>2）多模态影像融合</w:t>
            </w:r>
          </w:p>
          <w:p>
            <w:pPr>
              <w:spacing w:line="312" w:lineRule="auto"/>
              <w:ind w:firstLine="480" w:firstLineChars="200"/>
              <w:rPr>
                <w:color w:val="000000"/>
                <w:sz w:val="24"/>
              </w:rPr>
            </w:pPr>
            <w:r>
              <w:rPr>
                <w:color w:val="000000"/>
                <w:sz w:val="24"/>
              </w:rPr>
              <w:t xml:space="preserve">Channel </w:t>
            </w:r>
            <w:r>
              <w:rPr>
                <w:rFonts w:hint="eastAsia"/>
                <w:color w:val="000000"/>
                <w:sz w:val="24"/>
              </w:rPr>
              <w:t>e</w:t>
            </w:r>
            <w:r>
              <w:rPr>
                <w:color w:val="000000"/>
                <w:sz w:val="24"/>
              </w:rPr>
              <w:t>xchanging</w:t>
            </w:r>
            <w:r>
              <w:rPr>
                <w:rFonts w:hint="eastAsia"/>
                <w:color w:val="000000"/>
                <w:sz w:val="24"/>
              </w:rPr>
              <w:t>是通过不同的模态间的通道交换来实现多模态信息的融合，如图6所示，channel exchanging是利用batch normalization中的scaling factor的大小来自行度量每个channel重要性，将每个模态中不太重要的channel交换成其他模态中重要的channel，为了保持模态内的处理，此方法允许在每个模态通道的一定范围内进行有向通道交换。这种做法在不增加参数的情况下既保证了每个模态中固有的信息，又有效地融合所有模态的信息。</w:t>
            </w:r>
          </w:p>
          <w:p>
            <w:pPr>
              <w:spacing w:line="312" w:lineRule="auto"/>
              <w:ind w:firstLine="480" w:firstLineChars="200"/>
              <w:jc w:val="center"/>
              <w:rPr>
                <w:color w:val="000000"/>
                <w:sz w:val="24"/>
              </w:rPr>
            </w:pPr>
            <w:r>
              <w:rPr>
                <w:color w:val="000000"/>
                <w:sz w:val="24"/>
              </w:rPr>
              <w:drawing>
                <wp:inline distT="0" distB="0" distL="0" distR="0">
                  <wp:extent cx="3689350" cy="17538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714062" cy="1765605"/>
                          </a:xfrm>
                          <a:prstGeom prst="rect">
                            <a:avLst/>
                          </a:prstGeom>
                        </pic:spPr>
                      </pic:pic>
                    </a:graphicData>
                  </a:graphic>
                </wp:inline>
              </w:drawing>
            </w:r>
          </w:p>
          <w:p>
            <w:pPr>
              <w:jc w:val="center"/>
              <w:rPr>
                <w:rFonts w:eastAsia="黑体"/>
                <w:color w:val="000000"/>
                <w:szCs w:val="21"/>
              </w:rPr>
            </w:pPr>
            <w:r>
              <w:rPr>
                <w:rFonts w:eastAsia="黑体"/>
                <w:color w:val="000000"/>
                <w:szCs w:val="21"/>
              </w:rPr>
              <w:t>图6 Channel Exchanging框架图</w:t>
            </w:r>
          </w:p>
          <w:p>
            <w:pPr>
              <w:spacing w:line="312" w:lineRule="auto"/>
              <w:ind w:firstLine="480" w:firstLineChars="200"/>
              <w:rPr>
                <w:color w:val="000000"/>
                <w:sz w:val="24"/>
              </w:rPr>
            </w:pPr>
            <w:r>
              <w:rPr>
                <w:rFonts w:hint="eastAsia"/>
                <w:color w:val="000000"/>
                <w:sz w:val="24"/>
              </w:rPr>
              <w:t>在分割任务中，本课题采用了Refine</w:t>
            </w:r>
            <w:r>
              <w:rPr>
                <w:color w:val="000000"/>
                <w:sz w:val="24"/>
              </w:rPr>
              <w:t>N</w:t>
            </w:r>
            <w:r>
              <w:rPr>
                <w:rFonts w:hint="eastAsia"/>
                <w:color w:val="000000"/>
                <w:sz w:val="24"/>
              </w:rPr>
              <w:t>et将前面的多种分辨率的特征图输入到融合模块，网络框架如图7所示，每一个Refine</w:t>
            </w:r>
            <w:r>
              <w:rPr>
                <w:color w:val="000000"/>
                <w:sz w:val="24"/>
              </w:rPr>
              <w:t>N</w:t>
            </w:r>
            <w:r>
              <w:rPr>
                <w:rFonts w:hint="eastAsia"/>
                <w:color w:val="000000"/>
                <w:sz w:val="24"/>
              </w:rPr>
              <w:t>et是由残差卷积模块（residual conv unit，R</w:t>
            </w:r>
            <w:r>
              <w:rPr>
                <w:color w:val="000000"/>
                <w:sz w:val="24"/>
              </w:rPr>
              <w:t>CU</w:t>
            </w:r>
            <w:r>
              <w:rPr>
                <w:rFonts w:hint="eastAsia"/>
                <w:color w:val="000000"/>
                <w:sz w:val="24"/>
              </w:rPr>
              <w:t>）、多分辨率融合模块（multi-resolution fusion，M</w:t>
            </w:r>
            <w:r>
              <w:rPr>
                <w:color w:val="000000"/>
                <w:sz w:val="24"/>
              </w:rPr>
              <w:t>RF</w:t>
            </w:r>
            <w:r>
              <w:rPr>
                <w:rFonts w:hint="eastAsia"/>
                <w:color w:val="000000"/>
                <w:sz w:val="24"/>
              </w:rPr>
              <w:t>）、链式残差池化模块组成（chained residual pooling，C</w:t>
            </w:r>
            <w:r>
              <w:rPr>
                <w:color w:val="000000"/>
                <w:sz w:val="24"/>
              </w:rPr>
              <w:t>RP</w:t>
            </w:r>
            <w:r>
              <w:rPr>
                <w:rFonts w:hint="eastAsia"/>
                <w:color w:val="000000"/>
                <w:sz w:val="24"/>
              </w:rPr>
              <w:t>），通过使用带残差连接的同态映射构建所有模块，梯度能够在短距离和长距离传播，充分利用下采样过程中损失的信息，进一步以一种有效的方式从背景信息中俘获上下文信息。</w:t>
            </w:r>
          </w:p>
          <w:p>
            <w:pPr>
              <w:spacing w:line="312" w:lineRule="auto"/>
              <w:ind w:firstLine="480" w:firstLineChars="200"/>
              <w:jc w:val="center"/>
              <w:rPr>
                <w:color w:val="000000"/>
                <w:sz w:val="24"/>
              </w:rPr>
            </w:pPr>
            <w:r>
              <w:rPr>
                <w:color w:val="000000"/>
                <w:sz w:val="24"/>
              </w:rPr>
              <w:drawing>
                <wp:inline distT="0" distB="0" distL="0" distR="0">
                  <wp:extent cx="4229100" cy="2165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229317" cy="2165461"/>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7 R</w:t>
            </w:r>
            <w:r>
              <w:rPr>
                <w:rFonts w:hint="eastAsia" w:eastAsia="黑体"/>
                <w:color w:val="000000"/>
                <w:szCs w:val="21"/>
              </w:rPr>
              <w:t>efine</w:t>
            </w:r>
            <w:r>
              <w:rPr>
                <w:rFonts w:eastAsia="黑体"/>
                <w:color w:val="000000"/>
                <w:szCs w:val="21"/>
              </w:rPr>
              <w:t>N</w:t>
            </w:r>
            <w:r>
              <w:rPr>
                <w:rFonts w:hint="eastAsia" w:eastAsia="黑体"/>
                <w:color w:val="000000"/>
                <w:szCs w:val="21"/>
              </w:rPr>
              <w:t>et的框架示意图</w:t>
            </w:r>
          </w:p>
          <w:p>
            <w:pPr>
              <w:spacing w:line="312" w:lineRule="auto"/>
              <w:ind w:firstLine="480" w:firstLineChars="200"/>
              <w:rPr>
                <w:color w:val="000000"/>
                <w:sz w:val="24"/>
              </w:rPr>
            </w:pPr>
            <w:r>
              <w:rPr>
                <w:rFonts w:hint="eastAsia"/>
                <w:color w:val="000000"/>
                <w:sz w:val="24"/>
              </w:rPr>
              <w:t>在分类任务中，引入了视觉问答领域多模态因子分解双线性池化（m</w:t>
            </w:r>
            <w:r>
              <w:rPr>
                <w:color w:val="000000"/>
                <w:sz w:val="24"/>
              </w:rPr>
              <w:t xml:space="preserve">ulti-modal </w:t>
            </w:r>
            <w:r>
              <w:rPr>
                <w:rFonts w:hint="eastAsia"/>
                <w:color w:val="000000"/>
                <w:sz w:val="24"/>
              </w:rPr>
              <w:t>f</w:t>
            </w:r>
            <w:r>
              <w:rPr>
                <w:color w:val="000000"/>
                <w:sz w:val="24"/>
              </w:rPr>
              <w:t xml:space="preserve">actorized </w:t>
            </w:r>
            <w:r>
              <w:rPr>
                <w:rFonts w:hint="eastAsia"/>
                <w:color w:val="000000"/>
                <w:sz w:val="24"/>
              </w:rPr>
              <w:t>b</w:t>
            </w:r>
            <w:r>
              <w:rPr>
                <w:color w:val="000000"/>
                <w:sz w:val="24"/>
              </w:rPr>
              <w:t xml:space="preserve">ilinear </w:t>
            </w:r>
            <w:r>
              <w:rPr>
                <w:rFonts w:hint="eastAsia"/>
                <w:color w:val="000000"/>
                <w:sz w:val="24"/>
              </w:rPr>
              <w:t>p</w:t>
            </w:r>
            <w:r>
              <w:rPr>
                <w:color w:val="000000"/>
                <w:sz w:val="24"/>
              </w:rPr>
              <w:t>ooling</w:t>
            </w:r>
            <w:r>
              <w:rPr>
                <w:rFonts w:hint="eastAsia"/>
                <w:color w:val="000000"/>
                <w:sz w:val="24"/>
              </w:rPr>
              <w:t>，M</w:t>
            </w:r>
            <w:r>
              <w:rPr>
                <w:color w:val="000000"/>
                <w:sz w:val="24"/>
              </w:rPr>
              <w:t>FB</w:t>
            </w:r>
            <w:r>
              <w:rPr>
                <w:rFonts w:hint="eastAsia"/>
                <w:color w:val="000000"/>
                <w:sz w:val="24"/>
              </w:rPr>
              <w:t>）的方法</w:t>
            </w:r>
            <w:r>
              <w:rPr>
                <w:color w:val="000000"/>
                <w:sz w:val="24"/>
              </w:rPr>
              <w:t>以高效和有效地组合多模态特征</w:t>
            </w:r>
            <w:r>
              <w:rPr>
                <w:rFonts w:hint="eastAsia"/>
                <w:color w:val="000000"/>
                <w:sz w:val="24"/>
              </w:rPr>
              <w:t>，如图8所示，M</w:t>
            </w:r>
            <w:r>
              <w:rPr>
                <w:color w:val="000000"/>
                <w:sz w:val="24"/>
              </w:rPr>
              <w:t>FB</w:t>
            </w:r>
            <w:r>
              <w:rPr>
                <w:rFonts w:hint="eastAsia"/>
                <w:color w:val="000000"/>
                <w:sz w:val="24"/>
              </w:rPr>
              <w:t>采用了</w:t>
            </w:r>
            <w:r>
              <w:rPr>
                <w:color w:val="000000"/>
                <w:sz w:val="24"/>
              </w:rPr>
              <w:t xml:space="preserve">Tensor </w:t>
            </w:r>
            <w:r>
              <w:rPr>
                <w:rFonts w:hint="eastAsia"/>
                <w:color w:val="000000"/>
                <w:sz w:val="24"/>
              </w:rPr>
              <w:t>s</w:t>
            </w:r>
            <w:r>
              <w:rPr>
                <w:color w:val="000000"/>
                <w:sz w:val="24"/>
              </w:rPr>
              <w:t>ketch</w:t>
            </w:r>
            <w:r>
              <w:rPr>
                <w:rFonts w:hint="eastAsia"/>
                <w:color w:val="000000"/>
                <w:sz w:val="24"/>
              </w:rPr>
              <w:t>和</w:t>
            </w:r>
            <w:r>
              <w:rPr>
                <w:color w:val="000000"/>
                <w:sz w:val="24"/>
              </w:rPr>
              <w:t>Hadamard produ</w:t>
            </w:r>
            <w:r>
              <w:rPr>
                <w:rFonts w:hint="eastAsia"/>
                <w:color w:val="000000"/>
                <w:sz w:val="24"/>
              </w:rPr>
              <w:t>ct算法，既有效减少模型的参数数量和计算时间，又保持了高维输出来保证模型的鲁棒性。这样可以让不同模态的特征之间相互指导，具有更强的可解释性。</w:t>
            </w:r>
          </w:p>
          <w:p>
            <w:pPr>
              <w:spacing w:line="312" w:lineRule="auto"/>
              <w:jc w:val="center"/>
              <w:rPr>
                <w:color w:val="000000"/>
                <w:sz w:val="24"/>
              </w:rPr>
            </w:pPr>
            <w:r>
              <w:rPr>
                <w:color w:val="000000"/>
                <w:sz w:val="24"/>
              </w:rPr>
              <w:drawing>
                <wp:inline distT="0" distB="0" distL="0" distR="0">
                  <wp:extent cx="3885565" cy="26035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extLst>
                              <a:ext uri="{28A0092B-C50C-407E-A947-70E740481C1C}">
                                <a14:useLocalDpi xmlns:a14="http://schemas.microsoft.com/office/drawing/2010/main" val="0"/>
                              </a:ext>
                            </a:extLst>
                          </a:blip>
                          <a:srcRect l="2397"/>
                          <a:stretch>
                            <a:fillRect/>
                          </a:stretch>
                        </pic:blipFill>
                        <pic:spPr>
                          <a:xfrm>
                            <a:off x="0" y="0"/>
                            <a:ext cx="3886034" cy="2603500"/>
                          </a:xfrm>
                          <a:prstGeom prst="rect">
                            <a:avLst/>
                          </a:prstGeom>
                          <a:noFill/>
                          <a:ln>
                            <a:noFill/>
                          </a:ln>
                        </pic:spPr>
                      </pic:pic>
                    </a:graphicData>
                  </a:graphic>
                </wp:inline>
              </w:drawing>
            </w:r>
          </w:p>
          <w:p>
            <w:pPr>
              <w:jc w:val="center"/>
              <w:rPr>
                <w:rFonts w:eastAsia="黑体"/>
                <w:color w:val="000000"/>
                <w:szCs w:val="21"/>
              </w:rPr>
            </w:pPr>
            <w:r>
              <w:rPr>
                <w:rFonts w:eastAsia="黑体"/>
                <w:color w:val="000000"/>
                <w:szCs w:val="21"/>
              </w:rPr>
              <w:t>图8 多模态因子分解双线性流程图</w:t>
            </w:r>
          </w:p>
          <w:p>
            <w:pPr>
              <w:spacing w:line="312" w:lineRule="auto"/>
              <w:rPr>
                <w:b/>
                <w:bCs/>
                <w:sz w:val="24"/>
              </w:rPr>
            </w:pPr>
            <w:r>
              <w:rPr>
                <w:rFonts w:hint="eastAsia"/>
                <w:b/>
                <w:bCs/>
                <w:sz w:val="24"/>
              </w:rPr>
              <w:t>2</w:t>
            </w:r>
            <w:r>
              <w:rPr>
                <w:b/>
                <w:bCs/>
                <w:sz w:val="24"/>
              </w:rPr>
              <w:t>.6</w:t>
            </w:r>
            <w:r>
              <w:rPr>
                <w:rFonts w:hint="eastAsia"/>
                <w:b/>
                <w:bCs/>
                <w:sz w:val="24"/>
              </w:rPr>
              <w:t>分割任务中类内差异性和边界模糊的算法研究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临床中分析肿瘤医学图像时，模型正确分割医学图像域中的感兴趣区是提高诊断和治疗的重要关键。然而，由于生物组织之间的结构边界模糊性、异质纹理、对比度差以及没有领域知识对分割区域的不确定性，难以获得准确的分割结果。即使是专家，根据他们的经验和技能，他们的描述也略有不同。</w:t>
            </w:r>
          </w:p>
          <w:p>
            <w:pPr>
              <w:spacing w:line="312" w:lineRule="auto"/>
              <w:ind w:firstLine="480" w:firstLineChars="200"/>
              <w:rPr>
                <w:color w:val="000000"/>
                <w:sz w:val="24"/>
              </w:rPr>
            </w:pPr>
            <w:bookmarkStart w:id="0" w:name="_Hlk119056846"/>
            <w:r>
              <w:rPr>
                <w:rFonts w:hint="eastAsia"/>
                <w:color w:val="000000"/>
                <w:sz w:val="24"/>
              </w:rPr>
              <w:t>深度学习中的卷积神经网络通过具有不同核的卷积层和池化层来捕获包含丰富位置信息和语义信息的多尺度特征。低级特征具有更高的分辨率，可以生成清晰和详细的边界，但上下文信息较少，而高级特征具有更抽象的语义信息，这些语义信息擅长进行类别分类，但在形状和位置上较弱，因此，充分结合不同尺度的特征可以用来检测不同尺寸的肿瘤。</w:t>
            </w:r>
          </w:p>
          <w:p>
            <w:pPr>
              <w:spacing w:line="312" w:lineRule="auto"/>
              <w:ind w:firstLine="480" w:firstLineChars="200"/>
              <w:rPr>
                <w:color w:val="000000"/>
                <w:sz w:val="24"/>
              </w:rPr>
            </w:pPr>
            <w:r>
              <w:rPr>
                <w:rFonts w:hint="eastAsia"/>
                <w:color w:val="000000"/>
                <w:sz w:val="24"/>
              </w:rPr>
              <w:t>对于肿瘤类内差异性，模型需要针对各种变化（如形状、大小和纹理）保持不变，因此，本课题预计设计如图9的网络框架图，利用3</w:t>
            </w:r>
            <w:r>
              <w:rPr>
                <w:color w:val="000000"/>
                <w:sz w:val="24"/>
              </w:rPr>
              <w:t>D</w:t>
            </w:r>
            <w:r>
              <w:rPr>
                <w:rFonts w:hint="eastAsia"/>
                <w:color w:val="000000"/>
                <w:sz w:val="24"/>
              </w:rPr>
              <w:t>预训练模型Res</w:t>
            </w:r>
            <w:r>
              <w:rPr>
                <w:color w:val="000000"/>
                <w:sz w:val="24"/>
              </w:rPr>
              <w:t>N</w:t>
            </w:r>
            <w:r>
              <w:rPr>
                <w:rFonts w:hint="eastAsia"/>
                <w:color w:val="000000"/>
                <w:sz w:val="24"/>
              </w:rPr>
              <w:t>et</w:t>
            </w:r>
            <w:r>
              <w:rPr>
                <w:color w:val="000000"/>
                <w:sz w:val="24"/>
              </w:rPr>
              <w:t>-34</w:t>
            </w:r>
            <w:r>
              <w:rPr>
                <w:rFonts w:hint="eastAsia"/>
                <w:color w:val="000000"/>
                <w:sz w:val="24"/>
              </w:rPr>
              <w:t>为主干网络以获取不同分辨率的多尺度特征，为了能够更好的聚合不同区域中有效的上下文信息、区域语义，提高获取全局信息的能力。本课题预计引入了visual attention模块、global context attention模块。对于肿瘤边界模糊性，本课题采用了自然图像方面的b</w:t>
            </w:r>
            <w:r>
              <w:rPr>
                <w:color w:val="000000"/>
                <w:sz w:val="24"/>
              </w:rPr>
              <w:t xml:space="preserve">oundary </w:t>
            </w:r>
            <w:r>
              <w:rPr>
                <w:rFonts w:hint="eastAsia"/>
                <w:color w:val="000000"/>
                <w:sz w:val="24"/>
              </w:rPr>
              <w:t>r</w:t>
            </w:r>
            <w:r>
              <w:rPr>
                <w:color w:val="000000"/>
                <w:sz w:val="24"/>
              </w:rPr>
              <w:t>efinement</w:t>
            </w:r>
            <w:r>
              <w:rPr>
                <w:rFonts w:hint="eastAsia"/>
                <w:color w:val="000000"/>
                <w:sz w:val="24"/>
              </w:rPr>
              <w:t>模块，以细化对象边界并提高预测精度。在分类任务中，由于深层网络的语义信息丰富，直接使用预训练模型的深层语义特征作为分类特征。尽管网络能够充分利用多级特征，但参数数量也明显增加，这可能会带来额外的优化难度。为了解决这个问题，计划在模型中添加深度监督，旨在简化训练过程并加快网络模型的优化。</w:t>
            </w:r>
            <w:bookmarkEnd w:id="0"/>
          </w:p>
          <w:p>
            <w:pPr>
              <w:spacing w:line="312" w:lineRule="auto"/>
              <w:rPr>
                <w:color w:val="000000"/>
                <w:sz w:val="24"/>
              </w:rPr>
            </w:pPr>
            <w:r>
              <w:rPr>
                <w:color w:val="000000"/>
                <w:sz w:val="24"/>
              </w:rPr>
              <w:drawing>
                <wp:inline distT="0" distB="0" distL="0" distR="0">
                  <wp:extent cx="5623560" cy="2325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623560" cy="23253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9 </w:t>
            </w:r>
            <w:r>
              <w:rPr>
                <w:rFonts w:hint="eastAsia" w:eastAsia="黑体"/>
                <w:color w:val="000000"/>
                <w:szCs w:val="21"/>
              </w:rPr>
              <w:t>多尺度注意力网络概述</w:t>
            </w:r>
          </w:p>
          <w:p>
            <w:pPr>
              <w:spacing w:line="312" w:lineRule="auto"/>
              <w:ind w:firstLine="480" w:firstLineChars="200"/>
              <w:rPr>
                <w:color w:val="000000"/>
                <w:sz w:val="24"/>
              </w:rPr>
            </w:pPr>
            <w:r>
              <w:rPr>
                <w:rFonts w:hint="eastAsia"/>
                <w:color w:val="000000"/>
                <w:sz w:val="24"/>
              </w:rPr>
              <w:t>2）注意力机制模块</w:t>
            </w:r>
          </w:p>
          <w:p>
            <w:pPr>
              <w:spacing w:line="312" w:lineRule="auto"/>
              <w:ind w:firstLine="480" w:firstLineChars="200"/>
              <w:rPr>
                <w:sz w:val="24"/>
              </w:rPr>
            </w:pPr>
            <w:r>
              <w:rPr>
                <w:rFonts w:hint="eastAsia"/>
                <w:sz w:val="24"/>
              </w:rPr>
              <w:t>VA模块的目标是探索不同尺度特征中的局部和全局3D空间信息，如图1</w:t>
            </w:r>
            <w:r>
              <w:rPr>
                <w:sz w:val="24"/>
              </w:rPr>
              <w:t>0</w:t>
            </w:r>
            <w:r>
              <w:rPr>
                <w:rFonts w:hint="eastAsia"/>
                <w:sz w:val="24"/>
              </w:rPr>
              <w:t>（</w:t>
            </w:r>
            <w:r>
              <w:rPr>
                <w:sz w:val="24"/>
              </w:rPr>
              <w:t>a</w:t>
            </w:r>
            <w:r>
              <w:rPr>
                <w:rFonts w:hint="eastAsia"/>
                <w:sz w:val="24"/>
              </w:rPr>
              <w:t>）所示，V</w:t>
            </w:r>
            <w:r>
              <w:rPr>
                <w:sz w:val="24"/>
              </w:rPr>
              <w:t>A</w:t>
            </w:r>
            <w:r>
              <w:rPr>
                <w:rFonts w:hint="eastAsia"/>
                <w:sz w:val="24"/>
              </w:rPr>
              <w:t>模块以卷积层为中心，建立不同分支的空洞卷积以控制其偏心，形成具有不同感受野的多分支注意力特征池，更好的捕捉不同像素点之间的内在关系。G</w:t>
            </w:r>
            <w:r>
              <w:rPr>
                <w:sz w:val="24"/>
              </w:rPr>
              <w:t>CA</w:t>
            </w:r>
            <w:r>
              <w:rPr>
                <w:rFonts w:hint="eastAsia"/>
                <w:sz w:val="24"/>
              </w:rPr>
              <w:t>模块是能够精细化上下文信息的使用程度以解决不同患者的肿瘤大小、形态、纹理呈现的类内差异性，如图1</w:t>
            </w:r>
            <w:r>
              <w:rPr>
                <w:sz w:val="24"/>
              </w:rPr>
              <w:t>0</w:t>
            </w:r>
            <w:r>
              <w:rPr>
                <w:rFonts w:hint="eastAsia"/>
                <w:sz w:val="24"/>
              </w:rPr>
              <w:t>（b）所示，G</w:t>
            </w:r>
            <w:r>
              <w:rPr>
                <w:sz w:val="24"/>
              </w:rPr>
              <w:t>CA</w:t>
            </w:r>
            <w:r>
              <w:rPr>
                <w:rFonts w:hint="eastAsia"/>
                <w:sz w:val="24"/>
              </w:rPr>
              <w:t>应用卷积来调整高分辨率和低分辨率融合特征图的通道维度，然后通过全局池化到低分辨率以获得全局上下文信息，引入了注意力机制从而充分利用不同分辨率实现跨尺度特征融合。受自然图像中的研究，</w:t>
            </w:r>
            <w:r>
              <w:rPr>
                <w:sz w:val="24"/>
              </w:rPr>
              <w:t>BR</w:t>
            </w:r>
            <w:r>
              <w:rPr>
                <w:rFonts w:hint="eastAsia"/>
                <w:sz w:val="24"/>
              </w:rPr>
              <w:t>模块具有提高边界处的定位能力，因此我们尝试用该方法解决因图像对比度低所造成的边界模糊性问题。如图1</w:t>
            </w:r>
            <w:r>
              <w:rPr>
                <w:sz w:val="24"/>
              </w:rPr>
              <w:t>0</w:t>
            </w:r>
            <w:r>
              <w:rPr>
                <w:rFonts w:hint="eastAsia"/>
                <w:sz w:val="24"/>
              </w:rPr>
              <w:t>（c）所示，BR模块是基于残差结构的来帮助网络加强肿瘤边界的细节。</w:t>
            </w:r>
          </w:p>
          <w:p>
            <w:pPr>
              <w:spacing w:line="312" w:lineRule="auto"/>
              <w:jc w:val="center"/>
              <w:rPr>
                <w:b/>
                <w:bCs/>
                <w:sz w:val="24"/>
              </w:rPr>
            </w:pPr>
            <w:r>
              <w:rPr>
                <w:b/>
                <w:bCs/>
                <w:sz w:val="24"/>
              </w:rPr>
              <w:t xml:space="preserve"> </w:t>
            </w:r>
            <w:r>
              <w:rPr>
                <w:b/>
                <w:bCs/>
                <w:sz w:val="24"/>
              </w:rPr>
              <w:drawing>
                <wp:inline distT="0" distB="0" distL="0" distR="0">
                  <wp:extent cx="5623560" cy="1640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623560" cy="16408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10</w:t>
            </w:r>
            <w:r>
              <w:rPr>
                <w:rFonts w:hint="eastAsia" w:eastAsia="黑体"/>
                <w:color w:val="000000"/>
                <w:szCs w:val="21"/>
              </w:rPr>
              <w:t xml:space="preserve"> </w:t>
            </w:r>
            <w:r>
              <w:rPr>
                <w:rFonts w:hint="eastAsia"/>
                <w:sz w:val="24"/>
              </w:rPr>
              <w:t>（a）</w:t>
            </w:r>
            <w:r>
              <w:rPr>
                <w:sz w:val="24"/>
              </w:rPr>
              <w:t>V</w:t>
            </w:r>
            <w:r>
              <w:rPr>
                <w:rFonts w:hint="eastAsia"/>
                <w:sz w:val="24"/>
              </w:rPr>
              <w:t>isual</w:t>
            </w:r>
            <w:r>
              <w:rPr>
                <w:sz w:val="24"/>
              </w:rPr>
              <w:t xml:space="preserve"> A</w:t>
            </w:r>
            <w:r>
              <w:rPr>
                <w:rFonts w:hint="eastAsia"/>
                <w:sz w:val="24"/>
              </w:rPr>
              <w:t>ttention模块</w:t>
            </w:r>
            <w:r>
              <w:rPr>
                <w:rFonts w:hint="eastAsia" w:eastAsia="黑体"/>
                <w:color w:val="000000"/>
                <w:szCs w:val="21"/>
              </w:rPr>
              <w:t>（b）Global</w:t>
            </w:r>
            <w:r>
              <w:rPr>
                <w:rFonts w:eastAsia="黑体"/>
                <w:color w:val="000000"/>
                <w:szCs w:val="21"/>
              </w:rPr>
              <w:t xml:space="preserve"> Context Attention</w:t>
            </w:r>
            <w:r>
              <w:rPr>
                <w:rFonts w:hint="eastAsia" w:eastAsia="黑体"/>
                <w:color w:val="000000"/>
                <w:szCs w:val="21"/>
              </w:rPr>
              <w:t>模块</w:t>
            </w:r>
          </w:p>
          <w:p>
            <w:pPr>
              <w:jc w:val="center"/>
              <w:rPr>
                <w:rFonts w:eastAsia="黑体"/>
                <w:color w:val="000000"/>
                <w:szCs w:val="21"/>
              </w:rPr>
            </w:pPr>
            <w:r>
              <w:rPr>
                <w:rFonts w:hint="eastAsia" w:eastAsia="黑体"/>
                <w:color w:val="000000"/>
                <w:szCs w:val="21"/>
              </w:rPr>
              <w:t>（c）</w:t>
            </w:r>
            <w:r>
              <w:rPr>
                <w:rFonts w:eastAsia="黑体"/>
                <w:color w:val="000000"/>
                <w:szCs w:val="21"/>
              </w:rPr>
              <w:t>Boundary Refinement</w:t>
            </w:r>
            <w:r>
              <w:rPr>
                <w:rFonts w:hint="eastAsia" w:eastAsia="黑体"/>
                <w:color w:val="000000"/>
                <w:szCs w:val="21"/>
              </w:rPr>
              <w:t>模块</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7"/>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7"/>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7"/>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fldChar w:fldCharType="begin"/>
    </w:r>
    <w:r>
      <w:rPr>
        <w:rStyle w:val="11"/>
      </w:rPr>
      <w:instrText xml:space="preserve">PAGE  </w:instrText>
    </w:r>
    <w:r>
      <w:fldChar w:fldCharType="separate"/>
    </w:r>
    <w:r>
      <w:rPr>
        <w:rStyle w:val="11"/>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U5YmNhNTI3Y2E4ODcwMTRhM2NjYTkyYTA4NDdhZmI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3410DA5"/>
    <w:rsid w:val="05A624A1"/>
    <w:rsid w:val="078A2181"/>
    <w:rsid w:val="0AFC2E51"/>
    <w:rsid w:val="0BE7300C"/>
    <w:rsid w:val="0CA42B09"/>
    <w:rsid w:val="15162103"/>
    <w:rsid w:val="1AA42CCF"/>
    <w:rsid w:val="1C260F62"/>
    <w:rsid w:val="1E022991"/>
    <w:rsid w:val="1E973F4A"/>
    <w:rsid w:val="1EB3718E"/>
    <w:rsid w:val="267C3676"/>
    <w:rsid w:val="2880568B"/>
    <w:rsid w:val="28902F18"/>
    <w:rsid w:val="2A4F0754"/>
    <w:rsid w:val="2CA9001B"/>
    <w:rsid w:val="2E8F7E61"/>
    <w:rsid w:val="3025300D"/>
    <w:rsid w:val="305B0925"/>
    <w:rsid w:val="30CA4740"/>
    <w:rsid w:val="32585D2D"/>
    <w:rsid w:val="34CD5B64"/>
    <w:rsid w:val="351C56F1"/>
    <w:rsid w:val="36721293"/>
    <w:rsid w:val="376F1B93"/>
    <w:rsid w:val="37FB632E"/>
    <w:rsid w:val="3C6B0BCA"/>
    <w:rsid w:val="40B445FE"/>
    <w:rsid w:val="436A2C23"/>
    <w:rsid w:val="4BE33F84"/>
    <w:rsid w:val="524772D0"/>
    <w:rsid w:val="53C35821"/>
    <w:rsid w:val="543D53A9"/>
    <w:rsid w:val="550E1529"/>
    <w:rsid w:val="5AA558DB"/>
    <w:rsid w:val="5B212D92"/>
    <w:rsid w:val="5CCC128D"/>
    <w:rsid w:val="5F1D496E"/>
    <w:rsid w:val="615B4253"/>
    <w:rsid w:val="61B40758"/>
    <w:rsid w:val="63805640"/>
    <w:rsid w:val="68231C2E"/>
    <w:rsid w:val="689F33E8"/>
    <w:rsid w:val="69565A87"/>
    <w:rsid w:val="6CD24E7A"/>
    <w:rsid w:val="72847F4A"/>
    <w:rsid w:val="7D0B721A"/>
    <w:rsid w:val="7D0F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Indent"/>
    <w:basedOn w:val="1"/>
    <w:uiPriority w:val="0"/>
    <w:pPr>
      <w:ind w:firstLine="420"/>
    </w:pPr>
    <w:rPr>
      <w:rFonts w:ascii="宋体" w:hAnsi="宋体"/>
      <w:szCs w:val="20"/>
    </w:rPr>
  </w:style>
  <w:style w:type="paragraph" w:styleId="4">
    <w:name w:val="Date"/>
    <w:basedOn w:val="1"/>
    <w:next w:val="1"/>
    <w:uiPriority w:val="0"/>
    <w:pPr>
      <w:ind w:left="100" w:leftChars="2500"/>
    </w:pPr>
  </w:style>
  <w:style w:type="paragraph" w:styleId="5">
    <w:name w:val="footer"/>
    <w:basedOn w:val="1"/>
    <w:link w:val="14"/>
    <w:qFormat/>
    <w:uiPriority w:val="99"/>
    <w:pPr>
      <w:tabs>
        <w:tab w:val="center" w:pos="4153"/>
        <w:tab w:val="right" w:pos="8306"/>
      </w:tabs>
      <w:snapToGrid w:val="0"/>
      <w:jc w:val="left"/>
    </w:pPr>
    <w:rPr>
      <w:sz w:val="18"/>
      <w:szCs w:val="18"/>
      <w:lang w:val="zh-CN" w:eastAsia="zh-CN"/>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lang w:val="zh-CN" w:eastAsia="zh-CN"/>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page number"/>
    <w:basedOn w:val="9"/>
    <w:qFormat/>
    <w:uiPriority w:val="0"/>
  </w:style>
  <w:style w:type="character" w:styleId="12">
    <w:name w:val="Emphasis"/>
    <w:qFormat/>
    <w:uiPriority w:val="20"/>
    <w:rPr>
      <w:i/>
      <w:iCs/>
    </w:rPr>
  </w:style>
  <w:style w:type="character" w:customStyle="1" w:styleId="13">
    <w:name w:val="页眉 字符"/>
    <w:link w:val="6"/>
    <w:qFormat/>
    <w:uiPriority w:val="0"/>
    <w:rPr>
      <w:kern w:val="2"/>
      <w:sz w:val="18"/>
      <w:szCs w:val="18"/>
    </w:rPr>
  </w:style>
  <w:style w:type="character" w:customStyle="1" w:styleId="14">
    <w:name w:val="页脚 字符"/>
    <w:link w:val="5"/>
    <w:qFormat/>
    <w:uiPriority w:val="99"/>
    <w:rPr>
      <w:kern w:val="2"/>
      <w:sz w:val="18"/>
      <w:szCs w:val="18"/>
    </w:rPr>
  </w:style>
  <w:style w:type="paragraph" w:customStyle="1" w:styleId="15">
    <w:name w:val="EndNote Bibliography Title"/>
    <w:basedOn w:val="1"/>
    <w:link w:val="16"/>
    <w:uiPriority w:val="0"/>
    <w:pPr>
      <w:jc w:val="center"/>
    </w:pPr>
    <w:rPr>
      <w:sz w:val="20"/>
    </w:rPr>
  </w:style>
  <w:style w:type="character" w:customStyle="1" w:styleId="16">
    <w:name w:val="EndNote Bibliography Title 字符"/>
    <w:link w:val="15"/>
    <w:qFormat/>
    <w:uiPriority w:val="0"/>
    <w:rPr>
      <w:kern w:val="2"/>
      <w:szCs w:val="24"/>
    </w:rPr>
  </w:style>
  <w:style w:type="paragraph" w:customStyle="1" w:styleId="17">
    <w:name w:val="EndNote Bibliography"/>
    <w:basedOn w:val="1"/>
    <w:link w:val="18"/>
    <w:qFormat/>
    <w:uiPriority w:val="0"/>
    <w:rPr>
      <w:sz w:val="20"/>
    </w:rPr>
  </w:style>
  <w:style w:type="character" w:customStyle="1" w:styleId="18">
    <w:name w:val="EndNote Bibliography 字符"/>
    <w:link w:val="17"/>
    <w:qFormat/>
    <w:uiPriority w:val="0"/>
    <w:rPr>
      <w:kern w:val="2"/>
      <w:szCs w:val="24"/>
    </w:rPr>
  </w:style>
  <w:style w:type="character" w:styleId="19">
    <w:name w:val="Placeholder Text"/>
    <w:basedOn w:val="9"/>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253</TotalTime>
  <ScaleCrop>false</ScaleCrop>
  <LinksUpToDate>false</LinksUpToDate>
  <CharactersWithSpaces>98345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2023-10-31T12:20:07Z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4D45E0221C574BDFBECD84CC1A47234F_13</vt:lpwstr>
  </property>
</Properties>
</file>