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after="624" w:afterLines="200" w:line="312" w:lineRule="auto"/>
        <w:jc w:val="center"/>
        <w:rPr>
          <w:sz w:val="48"/>
          <w:szCs w:val="48"/>
        </w:rPr>
      </w:pPr>
    </w:p>
    <w:p>
      <w:pPr>
        <w:spacing w:before="624" w:beforeLines="200" w:after="624" w:afterLines="200" w:line="312" w:lineRule="auto"/>
        <w:jc w:val="center"/>
        <w:rPr>
          <w:b/>
          <w:sz w:val="32"/>
        </w:rPr>
      </w:pPr>
      <w:r>
        <w:rPr>
          <w:sz w:val="48"/>
          <w:szCs w:val="48"/>
        </w:rPr>
        <w:drawing>
          <wp:inline distT="0" distB="0" distL="0" distR="0">
            <wp:extent cx="2173605" cy="534670"/>
            <wp:effectExtent l="0" t="0" r="0" b="0"/>
            <wp:docPr id="6" name="图片 1" descr="西安工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西安工程大学"/>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73605" cy="534670"/>
                    </a:xfrm>
                    <a:prstGeom prst="rect">
                      <a:avLst/>
                    </a:prstGeom>
                    <a:noFill/>
                    <a:ln>
                      <a:noFill/>
                    </a:ln>
                  </pic:spPr>
                </pic:pic>
              </a:graphicData>
            </a:graphic>
          </wp:inline>
        </w:drawing>
      </w:r>
    </w:p>
    <w:p>
      <w:pPr>
        <w:spacing w:after="312" w:afterLines="100" w:line="312" w:lineRule="auto"/>
        <w:jc w:val="center"/>
        <w:rPr>
          <w:b/>
          <w:sz w:val="48"/>
          <w:szCs w:val="48"/>
        </w:rPr>
      </w:pPr>
      <w:r>
        <w:rPr>
          <w:rFonts w:hint="eastAsia"/>
          <w:b/>
          <w:sz w:val="48"/>
          <w:szCs w:val="48"/>
        </w:rPr>
        <w:t>专业学位硕士研究生学位论文</w:t>
      </w:r>
    </w:p>
    <w:p>
      <w:pPr>
        <w:spacing w:line="312" w:lineRule="auto"/>
        <w:jc w:val="center"/>
        <w:rPr>
          <w:b/>
          <w:bCs/>
          <w:sz w:val="48"/>
          <w:szCs w:val="48"/>
        </w:rPr>
      </w:pPr>
      <w:r>
        <w:rPr>
          <w:rFonts w:hint="eastAsia"/>
          <w:b/>
          <w:sz w:val="48"/>
          <w:szCs w:val="48"/>
        </w:rPr>
        <w:t xml:space="preserve">选 题 报 告  </w:t>
      </w:r>
    </w:p>
    <w:p>
      <w:pPr>
        <w:spacing w:before="156" w:beforeLines="50" w:line="312" w:lineRule="auto"/>
        <w:jc w:val="center"/>
        <w:rPr>
          <w:b/>
          <w:bCs/>
          <w:sz w:val="24"/>
        </w:rPr>
      </w:pPr>
    </w:p>
    <w:p>
      <w:pPr>
        <w:spacing w:before="156" w:beforeLines="50" w:line="312" w:lineRule="auto"/>
        <w:jc w:val="center"/>
        <w:rPr>
          <w:b/>
          <w:bCs/>
          <w:sz w:val="24"/>
        </w:rPr>
      </w:pPr>
    </w:p>
    <w:tbl>
      <w:tblPr>
        <w:tblStyle w:val="8"/>
        <w:tblW w:w="0" w:type="auto"/>
        <w:jc w:val="center"/>
        <w:tblBorders>
          <w:top w:val="none" w:color="auto" w:sz="0" w:space="0"/>
          <w:left w:val="none" w:color="auto" w:sz="0" w:space="0"/>
          <w:bottom w:val="single" w:color="000000" w:sz="4"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78"/>
        <w:gridCol w:w="1748"/>
        <w:gridCol w:w="275"/>
        <w:gridCol w:w="1134"/>
        <w:gridCol w:w="339"/>
        <w:gridCol w:w="1749"/>
      </w:tblGrid>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40"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z w:val="24"/>
              </w:rPr>
              <w:t>学位论文题目</w:t>
            </w:r>
          </w:p>
        </w:tc>
        <w:tc>
          <w:tcPr>
            <w:tcW w:w="5245" w:type="dxa"/>
            <w:gridSpan w:val="5"/>
            <w:tcBorders>
              <w:bottom w:val="single" w:color="000000" w:sz="4" w:space="0"/>
            </w:tcBorders>
            <w:vAlign w:val="bottom"/>
          </w:tcPr>
          <w:p>
            <w:pPr>
              <w:spacing w:before="156" w:beforeLines="50" w:line="360" w:lineRule="auto"/>
              <w:jc w:val="center"/>
              <w:rPr>
                <w:bCs/>
                <w:sz w:val="24"/>
              </w:rPr>
            </w:pPr>
            <w:r>
              <w:rPr>
                <w:rFonts w:hint="default"/>
                <w:bCs/>
                <w:sz w:val="24"/>
              </w:rPr>
              <w:t>边缘算力网络拥塞控制的研究</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40"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30"/>
                <w:kern w:val="0"/>
                <w:sz w:val="24"/>
                <w:fitText w:val="1446" w:id="383410798"/>
              </w:rPr>
              <w:t>研究生姓</w:t>
            </w:r>
            <w:r>
              <w:rPr>
                <w:rFonts w:hint="eastAsia"/>
                <w:b/>
                <w:bCs/>
                <w:spacing w:val="3"/>
                <w:kern w:val="0"/>
                <w:sz w:val="24"/>
                <w:fitText w:val="1446" w:id="383410798"/>
              </w:rPr>
              <w:t>名</w:t>
            </w:r>
          </w:p>
        </w:tc>
        <w:tc>
          <w:tcPr>
            <w:tcW w:w="5245" w:type="dxa"/>
            <w:gridSpan w:val="5"/>
            <w:vAlign w:val="bottom"/>
          </w:tcPr>
          <w:p>
            <w:pPr>
              <w:spacing w:before="156" w:beforeLines="50" w:line="360" w:lineRule="auto"/>
              <w:jc w:val="center"/>
              <w:rPr>
                <w:rFonts w:hint="eastAsia" w:eastAsia="宋体"/>
                <w:bCs/>
                <w:sz w:val="24"/>
                <w:lang w:val="en-US" w:eastAsia="zh-CN"/>
              </w:rPr>
            </w:pPr>
            <w:r>
              <w:rPr>
                <w:rFonts w:hint="eastAsia"/>
                <w:bCs/>
                <w:sz w:val="24"/>
                <w:lang w:val="en-US" w:eastAsia="zh-CN"/>
              </w:rPr>
              <w:t>晁凯</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64"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81"/>
                <w:kern w:val="0"/>
                <w:sz w:val="24"/>
                <w:fitText w:val="1446" w:id="1092622407"/>
              </w:rPr>
              <w:t>所在学</w:t>
            </w:r>
            <w:r>
              <w:rPr>
                <w:rFonts w:hint="eastAsia"/>
                <w:b/>
                <w:bCs/>
                <w:spacing w:val="0"/>
                <w:kern w:val="0"/>
                <w:sz w:val="24"/>
                <w:fitText w:val="1446" w:id="1092622407"/>
              </w:rPr>
              <w:t>院</w:t>
            </w:r>
          </w:p>
        </w:tc>
        <w:tc>
          <w:tcPr>
            <w:tcW w:w="2023" w:type="dxa"/>
            <w:gridSpan w:val="2"/>
            <w:tcBorders>
              <w:top w:val="nil"/>
              <w:bottom w:val="single" w:color="000000" w:sz="4" w:space="0"/>
            </w:tcBorders>
            <w:vAlign w:val="bottom"/>
          </w:tcPr>
          <w:p>
            <w:pPr>
              <w:spacing w:before="156" w:beforeLines="50" w:line="360" w:lineRule="auto"/>
              <w:jc w:val="center"/>
              <w:rPr>
                <w:bCs/>
                <w:sz w:val="24"/>
              </w:rPr>
            </w:pPr>
            <w:r>
              <w:rPr>
                <w:rFonts w:hint="eastAsia"/>
                <w:bCs/>
                <w:sz w:val="24"/>
              </w:rPr>
              <w:t>电子信息学院</w:t>
            </w:r>
          </w:p>
        </w:tc>
        <w:tc>
          <w:tcPr>
            <w:tcW w:w="1134" w:type="dxa"/>
            <w:tcBorders>
              <w:top w:val="nil"/>
              <w:bottom w:val="nil"/>
            </w:tcBorders>
            <w:vAlign w:val="bottom"/>
          </w:tcPr>
          <w:p>
            <w:pPr>
              <w:spacing w:before="156" w:beforeLines="50" w:line="360" w:lineRule="auto"/>
              <w:jc w:val="center"/>
              <w:rPr>
                <w:b/>
                <w:bCs/>
                <w:sz w:val="24"/>
              </w:rPr>
            </w:pPr>
            <w:r>
              <w:rPr>
                <w:rFonts w:hint="eastAsia"/>
                <w:b/>
                <w:bCs/>
                <w:sz w:val="24"/>
              </w:rPr>
              <w:t>学   号</w:t>
            </w:r>
          </w:p>
        </w:tc>
        <w:tc>
          <w:tcPr>
            <w:tcW w:w="2088" w:type="dxa"/>
            <w:gridSpan w:val="2"/>
            <w:vAlign w:val="bottom"/>
          </w:tcPr>
          <w:p>
            <w:pPr>
              <w:spacing w:before="156" w:beforeLines="50" w:line="360" w:lineRule="auto"/>
              <w:jc w:val="center"/>
              <w:rPr>
                <w:rFonts w:hint="default" w:eastAsia="宋体"/>
                <w:bCs/>
                <w:sz w:val="24"/>
                <w:lang w:val="en-US" w:eastAsia="zh-CN"/>
              </w:rPr>
            </w:pPr>
            <w:r>
              <w:rPr>
                <w:rFonts w:hint="eastAsia"/>
                <w:bCs/>
                <w:sz w:val="24"/>
              </w:rPr>
              <w:t>2</w:t>
            </w:r>
            <w:r>
              <w:rPr>
                <w:rFonts w:hint="eastAsia"/>
                <w:bCs/>
                <w:sz w:val="24"/>
                <w:lang w:val="en-US" w:eastAsia="zh-CN"/>
              </w:rPr>
              <w:t>20421132</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02"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z w:val="24"/>
              </w:rPr>
              <w:t>专业学位类别</w:t>
            </w:r>
          </w:p>
        </w:tc>
        <w:tc>
          <w:tcPr>
            <w:tcW w:w="5245" w:type="dxa"/>
            <w:gridSpan w:val="5"/>
            <w:tcBorders>
              <w:top w:val="single" w:color="000000" w:sz="4" w:space="0"/>
              <w:bottom w:val="single" w:color="000000" w:sz="4" w:space="0"/>
            </w:tcBorders>
            <w:vAlign w:val="bottom"/>
          </w:tcPr>
          <w:p>
            <w:pPr>
              <w:spacing w:before="156" w:beforeLines="50" w:line="360" w:lineRule="auto"/>
              <w:jc w:val="center"/>
              <w:rPr>
                <w:bCs/>
                <w:sz w:val="24"/>
              </w:rPr>
            </w:pPr>
            <w:r>
              <w:rPr>
                <w:rFonts w:hint="eastAsia"/>
                <w:bCs/>
                <w:sz w:val="24"/>
              </w:rPr>
              <w:t>工程硕士</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9"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7"/>
                <w:kern w:val="0"/>
                <w:sz w:val="24"/>
                <w:fitText w:val="1446" w:id="2004509611"/>
              </w:rPr>
              <w:t>专       业</w:t>
            </w:r>
          </w:p>
        </w:tc>
        <w:tc>
          <w:tcPr>
            <w:tcW w:w="5245" w:type="dxa"/>
            <w:gridSpan w:val="5"/>
            <w:tcBorders>
              <w:top w:val="single" w:color="000000" w:sz="4" w:space="0"/>
              <w:bottom w:val="single" w:color="000000" w:sz="4" w:space="0"/>
            </w:tcBorders>
            <w:vAlign w:val="bottom"/>
          </w:tcPr>
          <w:p>
            <w:pPr>
              <w:spacing w:before="156" w:beforeLines="50" w:line="360" w:lineRule="auto"/>
              <w:jc w:val="center"/>
              <w:rPr>
                <w:bCs/>
                <w:sz w:val="24"/>
              </w:rPr>
            </w:pPr>
            <w:r>
              <w:rPr>
                <w:rFonts w:hint="eastAsia"/>
                <w:bCs/>
                <w:sz w:val="24"/>
              </w:rPr>
              <w:t>电子信息</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4"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0"/>
                <w:kern w:val="0"/>
                <w:sz w:val="24"/>
                <w:fitText w:val="1446" w:id="712511913"/>
              </w:rPr>
              <w:t>校内导师姓名</w:t>
            </w:r>
          </w:p>
        </w:tc>
        <w:tc>
          <w:tcPr>
            <w:tcW w:w="5245" w:type="dxa"/>
            <w:gridSpan w:val="5"/>
            <w:tcBorders>
              <w:top w:val="single" w:color="000000" w:sz="4" w:space="0"/>
            </w:tcBorders>
            <w:vAlign w:val="bottom"/>
          </w:tcPr>
          <w:p>
            <w:pPr>
              <w:spacing w:before="156" w:beforeLines="50" w:line="360" w:lineRule="auto"/>
              <w:jc w:val="center"/>
              <w:rPr>
                <w:bCs/>
                <w:sz w:val="24"/>
              </w:rPr>
            </w:pPr>
            <w:r>
              <w:rPr>
                <w:rFonts w:hint="eastAsia"/>
                <w:bCs/>
                <w:sz w:val="24"/>
              </w:rPr>
              <w:t>魏炜</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18"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81"/>
                <w:kern w:val="0"/>
                <w:sz w:val="24"/>
                <w:fitText w:val="1446" w:id="1378627944"/>
              </w:rPr>
              <w:t>开题时</w:t>
            </w:r>
            <w:r>
              <w:rPr>
                <w:rFonts w:hint="eastAsia"/>
                <w:b/>
                <w:bCs/>
                <w:spacing w:val="0"/>
                <w:kern w:val="0"/>
                <w:sz w:val="24"/>
                <w:fitText w:val="1446" w:id="1378627944"/>
              </w:rPr>
              <w:t>间</w:t>
            </w:r>
          </w:p>
        </w:tc>
        <w:tc>
          <w:tcPr>
            <w:tcW w:w="1748" w:type="dxa"/>
            <w:tcBorders>
              <w:top w:val="nil"/>
            </w:tcBorders>
            <w:vAlign w:val="bottom"/>
          </w:tcPr>
          <w:p>
            <w:pPr>
              <w:spacing w:before="156" w:beforeLines="50" w:line="360" w:lineRule="auto"/>
              <w:jc w:val="center"/>
              <w:rPr>
                <w:bCs/>
                <w:sz w:val="24"/>
              </w:rPr>
            </w:pPr>
            <w:r>
              <w:rPr>
                <w:rFonts w:hint="eastAsia"/>
                <w:bCs/>
                <w:sz w:val="24"/>
              </w:rPr>
              <w:t>2</w:t>
            </w:r>
            <w:r>
              <w:rPr>
                <w:bCs/>
                <w:sz w:val="24"/>
              </w:rPr>
              <w:t>02</w:t>
            </w:r>
            <w:r>
              <w:rPr>
                <w:rFonts w:hint="eastAsia"/>
                <w:bCs/>
                <w:sz w:val="24"/>
                <w:lang w:val="en-US" w:eastAsia="zh-CN"/>
              </w:rPr>
              <w:t>3</w:t>
            </w:r>
            <w:r>
              <w:rPr>
                <w:rFonts w:hint="eastAsia"/>
                <w:bCs/>
                <w:sz w:val="24"/>
              </w:rPr>
              <w:t xml:space="preserve">年 </w:t>
            </w:r>
            <w:r>
              <w:rPr>
                <w:bCs/>
                <w:sz w:val="24"/>
              </w:rPr>
              <w:t>11</w:t>
            </w:r>
            <w:r>
              <w:rPr>
                <w:rFonts w:hint="eastAsia"/>
                <w:bCs/>
                <w:sz w:val="24"/>
              </w:rPr>
              <w:t xml:space="preserve">月 </w:t>
            </w:r>
            <w:r>
              <w:rPr>
                <w:bCs/>
                <w:sz w:val="24"/>
              </w:rPr>
              <w:t>18</w:t>
            </w:r>
            <w:r>
              <w:rPr>
                <w:rFonts w:hint="eastAsia"/>
                <w:bCs/>
                <w:sz w:val="24"/>
              </w:rPr>
              <w:t>日</w:t>
            </w:r>
          </w:p>
        </w:tc>
        <w:tc>
          <w:tcPr>
            <w:tcW w:w="1748" w:type="dxa"/>
            <w:gridSpan w:val="3"/>
            <w:tcBorders>
              <w:top w:val="single" w:color="000000" w:sz="4" w:space="0"/>
              <w:bottom w:val="nil"/>
            </w:tcBorders>
            <w:vAlign w:val="bottom"/>
          </w:tcPr>
          <w:p>
            <w:pPr>
              <w:spacing w:before="156" w:beforeLines="50" w:line="360" w:lineRule="auto"/>
              <w:jc w:val="center"/>
              <w:rPr>
                <w:bCs/>
                <w:sz w:val="24"/>
              </w:rPr>
            </w:pPr>
            <w:r>
              <w:rPr>
                <w:rFonts w:hint="eastAsia"/>
                <w:b/>
                <w:bCs/>
                <w:sz w:val="24"/>
              </w:rPr>
              <w:t>校外导师姓名</w:t>
            </w:r>
          </w:p>
        </w:tc>
        <w:tc>
          <w:tcPr>
            <w:tcW w:w="1749" w:type="dxa"/>
            <w:tcBorders>
              <w:top w:val="single" w:color="000000" w:sz="4" w:space="0"/>
            </w:tcBorders>
            <w:vAlign w:val="bottom"/>
          </w:tcPr>
          <w:p>
            <w:pPr>
              <w:spacing w:before="156" w:beforeLines="50" w:line="360" w:lineRule="auto"/>
              <w:jc w:val="center"/>
              <w:rPr>
                <w:rFonts w:hint="default" w:eastAsia="宋体"/>
                <w:bCs/>
                <w:sz w:val="24"/>
                <w:lang w:val="en-US" w:eastAsia="zh-CN"/>
              </w:rPr>
            </w:pPr>
            <w:r>
              <w:rPr>
                <w:rFonts w:hint="eastAsia"/>
                <w:bCs/>
                <w:sz w:val="24"/>
                <w:lang w:val="en-US" w:eastAsia="zh-CN"/>
              </w:rPr>
              <w:t>马城城</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886" w:hRule="atLeast"/>
          <w:jc w:val="center"/>
        </w:trPr>
        <w:tc>
          <w:tcPr>
            <w:tcW w:w="1678" w:type="dxa"/>
            <w:tcBorders>
              <w:top w:val="nil"/>
              <w:bottom w:val="nil"/>
            </w:tcBorders>
            <w:vAlign w:val="bottom"/>
          </w:tcPr>
          <w:p>
            <w:pPr>
              <w:spacing w:before="156" w:beforeLines="50" w:line="360" w:lineRule="auto"/>
              <w:rPr>
                <w:b/>
                <w:bCs/>
                <w:spacing w:val="26"/>
                <w:sz w:val="24"/>
              </w:rPr>
            </w:pPr>
          </w:p>
        </w:tc>
        <w:tc>
          <w:tcPr>
            <w:tcW w:w="5245" w:type="dxa"/>
            <w:gridSpan w:val="5"/>
            <w:tcBorders>
              <w:top w:val="nil"/>
            </w:tcBorders>
            <w:vAlign w:val="bottom"/>
          </w:tcPr>
          <w:p>
            <w:pPr>
              <w:spacing w:before="156" w:beforeLines="50" w:line="360" w:lineRule="auto"/>
              <w:jc w:val="center"/>
              <w:rPr>
                <w:bCs/>
                <w:sz w:val="24"/>
              </w:rPr>
            </w:pPr>
          </w:p>
        </w:tc>
      </w:tr>
    </w:tbl>
    <w:p>
      <w:pPr>
        <w:spacing w:before="156" w:beforeLines="50" w:line="360" w:lineRule="auto"/>
        <w:rPr>
          <w:b/>
          <w:bCs/>
          <w:sz w:val="24"/>
        </w:rPr>
      </w:pPr>
    </w:p>
    <w:p>
      <w:pPr>
        <w:spacing w:before="156" w:beforeLines="50" w:line="312" w:lineRule="auto"/>
        <w:rPr>
          <w:b/>
          <w:bCs/>
          <w:sz w:val="24"/>
        </w:rPr>
      </w:pPr>
    </w:p>
    <w:p>
      <w:pPr>
        <w:spacing w:before="156" w:beforeLines="50" w:line="312" w:lineRule="auto"/>
        <w:jc w:val="center"/>
        <w:rPr>
          <w:b/>
          <w:bCs/>
          <w:sz w:val="24"/>
        </w:rPr>
        <w:sectPr>
          <w:footerReference r:id="rId5" w:type="first"/>
          <w:footerReference r:id="rId3" w:type="default"/>
          <w:footerReference r:id="rId4" w:type="even"/>
          <w:pgSz w:w="11907" w:h="16840"/>
          <w:pgMar w:top="1440" w:right="1797" w:bottom="1440" w:left="1797" w:header="851" w:footer="992" w:gutter="0"/>
          <w:pgNumType w:start="1"/>
          <w:cols w:space="720" w:num="1"/>
          <w:titlePg/>
          <w:docGrid w:type="lines" w:linePitch="312" w:charSpace="0"/>
        </w:sectPr>
      </w:pPr>
      <w:r>
        <w:rPr>
          <w:rFonts w:hint="eastAsia"/>
          <w:b/>
          <w:bCs/>
          <w:sz w:val="24"/>
        </w:rPr>
        <w:t>西安工程大学研究生院</w:t>
      </w:r>
    </w:p>
    <w:p>
      <w:pPr>
        <w:spacing w:line="312" w:lineRule="auto"/>
        <w:rPr>
          <w:b/>
          <w:bCs/>
          <w:sz w:val="36"/>
          <w:szCs w:val="36"/>
        </w:rPr>
      </w:pPr>
    </w:p>
    <w:p>
      <w:pPr>
        <w:spacing w:line="312" w:lineRule="auto"/>
        <w:jc w:val="center"/>
        <w:rPr>
          <w:b/>
          <w:bCs/>
          <w:sz w:val="36"/>
          <w:szCs w:val="36"/>
        </w:rPr>
      </w:pPr>
      <w:r>
        <w:rPr>
          <w:rFonts w:hint="eastAsia"/>
          <w:b/>
          <w:bCs/>
          <w:sz w:val="36"/>
          <w:szCs w:val="36"/>
        </w:rPr>
        <w:t>填 写 要 求</w:t>
      </w:r>
    </w:p>
    <w:p>
      <w:pPr>
        <w:spacing w:line="312" w:lineRule="auto"/>
        <w:jc w:val="center"/>
        <w:rPr>
          <w:b/>
          <w:bCs/>
          <w:sz w:val="36"/>
          <w:szCs w:val="36"/>
        </w:rPr>
      </w:pPr>
    </w:p>
    <w:p>
      <w:pPr>
        <w:spacing w:line="312" w:lineRule="auto"/>
        <w:rPr>
          <w:rFonts w:ascii="宋体" w:hAnsi="宋体"/>
          <w:bCs/>
          <w:sz w:val="28"/>
          <w:szCs w:val="28"/>
        </w:rPr>
      </w:pPr>
      <w:r>
        <w:rPr>
          <w:rFonts w:hint="eastAsia" w:ascii="宋体" w:hAnsi="宋体"/>
          <w:sz w:val="28"/>
          <w:szCs w:val="28"/>
        </w:rPr>
        <w:t xml:space="preserve">  </w:t>
      </w:r>
      <w:r>
        <w:rPr>
          <w:rFonts w:hint="eastAsia"/>
          <w:b/>
          <w:bCs/>
          <w:sz w:val="36"/>
          <w:szCs w:val="36"/>
        </w:rPr>
        <w:t xml:space="preserve"> </w:t>
      </w:r>
      <w:r>
        <w:rPr>
          <w:rFonts w:hint="eastAsia" w:ascii="宋体" w:hAnsi="宋体"/>
          <w:bCs/>
          <w:sz w:val="28"/>
          <w:szCs w:val="28"/>
        </w:rPr>
        <w:t xml:space="preserve"> 一、论文题目是论文中心思想的高度概括，要求准确、规范、用词科学、简洁，一般不能超过25个汉字。</w:t>
      </w:r>
    </w:p>
    <w:p>
      <w:pPr>
        <w:spacing w:line="312" w:lineRule="auto"/>
        <w:rPr>
          <w:rFonts w:ascii="宋体" w:hAnsi="宋体"/>
          <w:bCs/>
          <w:sz w:val="28"/>
          <w:szCs w:val="28"/>
        </w:rPr>
      </w:pPr>
      <w:r>
        <w:rPr>
          <w:rFonts w:hint="eastAsia" w:ascii="宋体" w:hAnsi="宋体"/>
          <w:bCs/>
          <w:sz w:val="28"/>
          <w:szCs w:val="28"/>
        </w:rPr>
        <w:t xml:space="preserve">    二、参考文献（参考文献应为近五年的</w:t>
      </w:r>
      <w:r>
        <w:rPr>
          <w:rFonts w:ascii="宋体" w:hAnsi="宋体"/>
          <w:bCs/>
          <w:sz w:val="28"/>
          <w:szCs w:val="28"/>
        </w:rPr>
        <w:t>50</w:t>
      </w:r>
      <w:r>
        <w:rPr>
          <w:rFonts w:hint="eastAsia" w:ascii="宋体" w:hAnsi="宋体"/>
          <w:bCs/>
          <w:sz w:val="28"/>
          <w:szCs w:val="28"/>
        </w:rPr>
        <w:t>篇以上，其中外文资料不少于</w:t>
      </w:r>
      <w:r>
        <w:rPr>
          <w:rFonts w:ascii="宋体" w:hAnsi="宋体"/>
          <w:bCs/>
          <w:sz w:val="28"/>
          <w:szCs w:val="28"/>
        </w:rPr>
        <w:t>1/3</w:t>
      </w:r>
      <w:r>
        <w:rPr>
          <w:rFonts w:hint="eastAsia" w:ascii="宋体" w:hAnsi="宋体"/>
          <w:bCs/>
          <w:sz w:val="28"/>
          <w:szCs w:val="28"/>
        </w:rPr>
        <w:t>）。</w:t>
      </w:r>
    </w:p>
    <w:p>
      <w:pPr>
        <w:spacing w:line="312" w:lineRule="auto"/>
        <w:rPr>
          <w:rFonts w:ascii="宋体" w:hAnsi="宋体"/>
          <w:bCs/>
          <w:sz w:val="28"/>
          <w:szCs w:val="28"/>
        </w:rPr>
      </w:pPr>
      <w:r>
        <w:rPr>
          <w:rFonts w:hint="eastAsia" w:ascii="宋体" w:hAnsi="宋体"/>
          <w:bCs/>
          <w:sz w:val="28"/>
          <w:szCs w:val="28"/>
        </w:rPr>
        <w:t xml:space="preserve">    三、专业学位类别（法律、翻译、新闻与传播、工程、工商管理、会计、艺术）。</w:t>
      </w:r>
    </w:p>
    <w:p>
      <w:pPr>
        <w:spacing w:line="312" w:lineRule="auto"/>
        <w:rPr>
          <w:rFonts w:ascii="宋体" w:hAnsi="宋体"/>
          <w:bCs/>
          <w:sz w:val="28"/>
          <w:szCs w:val="28"/>
        </w:rPr>
      </w:pPr>
      <w:r>
        <w:rPr>
          <w:rFonts w:hint="eastAsia" w:ascii="宋体" w:hAnsi="宋体"/>
          <w:bCs/>
          <w:sz w:val="28"/>
          <w:szCs w:val="28"/>
        </w:rPr>
        <w:t xml:space="preserve">    四、硕士学位论文选题报告通过后，此表一式两份，均由学院保存（其中一份在研究生获得硕士学位后装入研究生个人学位论文档案袋存档）。</w:t>
      </w:r>
    </w:p>
    <w:p>
      <w:pPr>
        <w:spacing w:line="312" w:lineRule="auto"/>
        <w:rPr>
          <w:rFonts w:ascii="宋体" w:hAnsi="宋体"/>
          <w:bCs/>
          <w:sz w:val="28"/>
          <w:szCs w:val="28"/>
        </w:rPr>
      </w:pPr>
      <w:r>
        <w:rPr>
          <w:rFonts w:hint="eastAsia" w:ascii="宋体" w:hAnsi="宋体"/>
          <w:bCs/>
          <w:sz w:val="28"/>
          <w:szCs w:val="28"/>
        </w:rPr>
        <w:t xml:space="preserve">    五、本表个别栏目填写空间不足时，可续页。</w:t>
      </w:r>
    </w:p>
    <w:p>
      <w:pPr>
        <w:spacing w:line="312" w:lineRule="auto"/>
        <w:rPr>
          <w:rFonts w:ascii="宋体" w:hAnsi="宋体"/>
          <w:bCs/>
          <w:sz w:val="28"/>
          <w:szCs w:val="28"/>
        </w:rPr>
      </w:pPr>
      <w:r>
        <w:rPr>
          <w:rFonts w:hint="eastAsia" w:ascii="宋体" w:hAnsi="宋体"/>
          <w:bCs/>
          <w:sz w:val="28"/>
          <w:szCs w:val="28"/>
        </w:rPr>
        <w:t xml:space="preserve">    六、选题报告为</w:t>
      </w:r>
      <w:r>
        <w:rPr>
          <w:rFonts w:ascii="宋体" w:hAnsi="宋体"/>
          <w:bCs/>
          <w:sz w:val="28"/>
          <w:szCs w:val="28"/>
        </w:rPr>
        <w:t>A4</w:t>
      </w:r>
      <w:r>
        <w:rPr>
          <w:rFonts w:hint="eastAsia" w:ascii="宋体" w:hAnsi="宋体"/>
          <w:bCs/>
          <w:sz w:val="28"/>
          <w:szCs w:val="28"/>
        </w:rPr>
        <w:t>纸双面打印，字号：宋体、小四，</w:t>
      </w:r>
      <w:r>
        <w:rPr>
          <w:rFonts w:ascii="宋体" w:hAnsi="宋体"/>
          <w:bCs/>
          <w:sz w:val="28"/>
          <w:szCs w:val="28"/>
        </w:rPr>
        <w:t>1.3</w:t>
      </w:r>
      <w:r>
        <w:rPr>
          <w:rFonts w:hint="eastAsia" w:ascii="宋体" w:hAnsi="宋体"/>
          <w:bCs/>
          <w:sz w:val="28"/>
          <w:szCs w:val="28"/>
        </w:rPr>
        <w:t>倍行距，于左侧装订成册。</w:t>
      </w:r>
    </w:p>
    <w:p>
      <w:pPr>
        <w:spacing w:line="312" w:lineRule="auto"/>
        <w:rPr>
          <w:rFonts w:ascii="宋体" w:hAnsi="宋体"/>
          <w:bCs/>
          <w:sz w:val="28"/>
          <w:szCs w:val="28"/>
        </w:rPr>
      </w:pPr>
      <w:r>
        <w:rPr>
          <w:rFonts w:hint="eastAsia" w:ascii="宋体" w:hAnsi="宋体"/>
          <w:bCs/>
          <w:sz w:val="28"/>
          <w:szCs w:val="28"/>
        </w:rPr>
        <w:t xml:space="preserve">   </w:t>
      </w:r>
    </w:p>
    <w:p>
      <w:pPr>
        <w:snapToGrid w:val="0"/>
        <w:spacing w:before="156" w:beforeLines="50" w:line="312" w:lineRule="auto"/>
        <w:ind w:right="624" w:firstLine="561"/>
        <w:rPr>
          <w:rFonts w:ascii="宋体" w:hAnsi="宋体"/>
          <w:sz w:val="28"/>
          <w:szCs w:val="28"/>
        </w:rPr>
        <w:sectPr>
          <w:footerReference r:id="rId7" w:type="first"/>
          <w:footerReference r:id="rId6" w:type="default"/>
          <w:pgSz w:w="11907" w:h="16840"/>
          <w:pgMar w:top="1440" w:right="1797" w:bottom="1440" w:left="1797" w:header="851" w:footer="992" w:gutter="0"/>
          <w:pgNumType w:start="1"/>
          <w:cols w:space="720" w:num="1"/>
          <w:docGrid w:type="lines" w:linePitch="312" w:charSpace="0"/>
        </w:sectPr>
      </w:pPr>
    </w:p>
    <w:p>
      <w:pPr>
        <w:snapToGrid w:val="0"/>
        <w:spacing w:line="312" w:lineRule="auto"/>
        <w:ind w:right="625"/>
        <w:rPr>
          <w:rFonts w:ascii="宋体" w:hAnsi="宋体"/>
          <w:b/>
          <w:sz w:val="30"/>
        </w:rPr>
      </w:pPr>
      <w:r>
        <w:rPr>
          <w:rFonts w:hint="eastAsia" w:ascii="宋体" w:hAnsi="宋体"/>
          <w:b/>
          <w:sz w:val="30"/>
        </w:rPr>
        <w:t>一、选题依据</w:t>
      </w:r>
    </w:p>
    <w:tbl>
      <w:tblPr>
        <w:tblStyle w:val="8"/>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1" w:hRule="atLeast"/>
          <w:jc w:val="center"/>
        </w:trPr>
        <w:tc>
          <w:tcPr>
            <w:tcW w:w="9067" w:type="dxa"/>
          </w:tcPr>
          <w:p>
            <w:pPr>
              <w:spacing w:line="312" w:lineRule="auto"/>
              <w:rPr>
                <w:b/>
                <w:sz w:val="24"/>
              </w:rPr>
            </w:pPr>
            <w:r>
              <w:rPr>
                <w:rFonts w:hint="eastAsia"/>
                <w:b/>
                <w:sz w:val="24"/>
              </w:rPr>
              <w:t>1选题类型</w:t>
            </w:r>
          </w:p>
          <w:p>
            <w:pPr>
              <w:spacing w:line="312" w:lineRule="auto"/>
              <w:ind w:firstLine="480" w:firstLineChars="200"/>
              <w:rPr>
                <w:bCs/>
                <w:sz w:val="24"/>
              </w:rPr>
            </w:pPr>
            <w:r>
              <w:rPr>
                <w:rFonts w:hint="eastAsia"/>
                <w:bCs/>
                <w:sz w:val="24"/>
              </w:rPr>
              <w:t>本课题为应用开发研究</w:t>
            </w:r>
          </w:p>
          <w:p>
            <w:pPr>
              <w:spacing w:line="312" w:lineRule="auto"/>
              <w:rPr>
                <w:b/>
                <w:sz w:val="24"/>
              </w:rPr>
            </w:pPr>
            <w:r>
              <w:rPr>
                <w:rFonts w:hint="eastAsia"/>
                <w:b/>
                <w:sz w:val="24"/>
              </w:rPr>
              <w:t>2选题来源</w:t>
            </w:r>
          </w:p>
          <w:p>
            <w:pPr>
              <w:spacing w:line="312" w:lineRule="auto"/>
              <w:ind w:firstLine="480" w:firstLineChars="200"/>
              <w:rPr>
                <w:bCs/>
                <w:sz w:val="24"/>
              </w:rPr>
            </w:pPr>
            <w:r>
              <w:rPr>
                <w:rFonts w:hint="eastAsia"/>
                <w:bCs/>
                <w:sz w:val="24"/>
              </w:rPr>
              <w:t>本课题源自国家自然科学基金（项目编号：</w:t>
            </w:r>
            <w:r>
              <w:rPr>
                <w:bCs/>
                <w:sz w:val="24"/>
              </w:rPr>
              <w:t>92059103</w:t>
            </w:r>
            <w:r>
              <w:rPr>
                <w:rFonts w:hint="eastAsia"/>
                <w:bCs/>
                <w:sz w:val="24"/>
              </w:rPr>
              <w:t>）</w:t>
            </w:r>
          </w:p>
          <w:p>
            <w:pPr>
              <w:spacing w:line="312" w:lineRule="auto"/>
              <w:rPr>
                <w:b/>
                <w:sz w:val="24"/>
              </w:rPr>
            </w:pPr>
            <w:r>
              <w:rPr>
                <w:rFonts w:hint="eastAsia"/>
                <w:b/>
                <w:sz w:val="24"/>
              </w:rPr>
              <w:t>3研究意义</w:t>
            </w:r>
          </w:p>
          <w:p>
            <w:pPr>
              <w:spacing w:line="312" w:lineRule="auto"/>
              <w:ind w:firstLine="480" w:firstLineChars="200"/>
              <w:rPr>
                <w:rFonts w:ascii="宋体" w:hAnsi="宋体"/>
                <w:sz w:val="24"/>
              </w:rPr>
            </w:pPr>
            <w:r>
              <w:rPr>
                <w:rFonts w:ascii="宋体" w:hAnsi="宋体"/>
                <w:sz w:val="24"/>
              </w:rPr>
              <w:t>边缘算力网络（Edge Computing Network）是一种新型的计算网络架构，它将计算和数据存储功能从传统的集中式云计算数据中心移至接近数据源的边缘位置。</w:t>
            </w:r>
            <w:r>
              <w:rPr>
                <w:rFonts w:hint="eastAsia" w:ascii="宋体" w:hAnsi="宋体"/>
                <w:sz w:val="24"/>
                <w:lang w:val="en-US" w:eastAsia="zh-CN"/>
              </w:rPr>
              <w:t>在传统云计算网络中，数据通常会被发送到远程的数据中心，数据中心进行处理后再将结果返回给用户，但是随着物联网设备和传感器的普及，产生的数据量不断增加，并且在很多情况下需要数据需要实时的处理及相应。边缘算力网络国内的边缘计算产业联盟（ECC）定义边缘计算是靠近物物或数据源头的网络边缘侧，融合网络、计算、存储、应用核心能力的开发平台等</w:t>
            </w:r>
            <w:r>
              <w:rPr>
                <w:rFonts w:hint="eastAsia" w:ascii="宋体" w:hAnsi="宋体"/>
                <w:sz w:val="24"/>
                <w:vertAlign w:val="superscript"/>
                <w:lang w:val="en-US" w:eastAsia="zh-CN"/>
              </w:rPr>
              <w:t>[1]</w:t>
            </w:r>
            <w:r>
              <w:rPr>
                <w:rFonts w:ascii="宋体" w:hAnsi="宋体"/>
                <w:sz w:val="24"/>
              </w:rPr>
              <w:t>这种网络架构的目的是在物联网、5G通信等应用场景中降低延迟、提高带宽利用率、增加网络安全性，并且能够更好地支持大规模设备和传感器的连接。</w:t>
            </w:r>
          </w:p>
          <w:p>
            <w:pPr>
              <w:spacing w:line="312" w:lineRule="auto"/>
              <w:ind w:firstLine="480" w:firstLineChars="200"/>
              <w:rPr>
                <w:rFonts w:hint="default" w:ascii="宋体" w:hAnsi="宋体" w:eastAsia="宋体"/>
                <w:sz w:val="24"/>
                <w:lang w:val="en-US" w:eastAsia="zh-CN"/>
              </w:rPr>
            </w:pPr>
            <w:r>
              <w:rPr>
                <w:rFonts w:hint="eastAsia" w:ascii="宋体" w:hAnsi="宋体"/>
                <w:sz w:val="24"/>
                <w:lang w:val="en-US" w:eastAsia="zh-CN"/>
              </w:rPr>
              <w:t>在1986年第一次出现了网络拥塞问题，当时LBL和UCBeley之间通信状况突然恶化，吞吐量从32kbps下降到40bps</w:t>
            </w:r>
            <w:r>
              <w:rPr>
                <w:rFonts w:hint="eastAsia" w:ascii="宋体" w:hAnsi="宋体"/>
                <w:sz w:val="24"/>
                <w:vertAlign w:val="superscript"/>
                <w:lang w:val="en-US" w:eastAsia="zh-CN"/>
              </w:rPr>
              <w:t>[2]</w:t>
            </w:r>
            <w:r>
              <w:rPr>
                <w:rFonts w:hint="eastAsia" w:ascii="宋体" w:hAnsi="宋体"/>
                <w:sz w:val="24"/>
                <w:lang w:val="en-US" w:eastAsia="zh-CN"/>
              </w:rPr>
              <w:t>，在次之后，网络拥塞问题成为计算机网络中一个重要的研究问题，</w:t>
            </w:r>
            <w:r>
              <w:rPr>
                <w:rFonts w:hint="default" w:ascii="宋体" w:hAnsi="宋体" w:eastAsia="宋体"/>
                <w:sz w:val="24"/>
                <w:lang w:val="en-US" w:eastAsia="zh-CN"/>
              </w:rPr>
              <w:t>网络拥塞是指在计算机网络中，由于网络上的数据传输量超过了网络基础设施的处理能力，导致数据传输受阻、延迟增加的现象。当网络拥塞发生时，数据包可能被延迟传输或丢失，从而影响用户体验和网络性能。这种情况通常需要采取措施来避免或缓解，以确保网络的顺畅运行。</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在边缘算力网络中，边缘算力网络将计算和存储资源分布在了各个边缘设备上，用于处理数据，运行应用程序以及提供计算和存储服务，这些设备通常位于数据源头附近，如传感器，工业设备，智能手机，智能家具设备等，这样做的好处在于数据和计算在边缘位置处理，减少了数据传输到云服务器和返回的时间，从而降低了延迟，以及支持大规模设备的连接，边缘计算网络中的边缘节点分布在物理空间的各个位置，每个边缘节点都具备一定的计算和存储能力，当大规模设备连接到这些边缘节点时，数据可以在离设备更近的地方进行处理。这种分布式的数据处理方式能够轻松应对大量设备的数据。</w:t>
            </w:r>
            <w:r>
              <w:rPr>
                <w:rFonts w:hint="eastAsia" w:ascii="宋体" w:hAnsi="宋体"/>
                <w:sz w:val="24"/>
                <w:lang w:val="en-US" w:eastAsia="zh-CN"/>
              </w:rPr>
              <w:br w:type="textWrapping"/>
            </w:r>
            <w:r>
              <w:rPr>
                <w:rFonts w:hint="eastAsia" w:ascii="宋体" w:hAnsi="宋体"/>
                <w:sz w:val="24"/>
                <w:lang w:val="en-US" w:eastAsia="zh-CN"/>
              </w:rPr>
              <w:t xml:space="preserve">    在边缘算力网络中，各种数据源包括传感器、智能设备（如智能家居设备、智能工厂设备等）以及移动设备（如智能手机和平板电脑），它们的时延需求各不相同。在网络拥塞检测中，考虑到这种多样性数据源的时延需求至关重要。例如，在智能工厂中，传感器用于实时监测生产线上的温度、湿度等数据，对实时性要求极高，任何延迟都可能影响到系统的响应速度和决策效果。另外，在某些场景下，多个设备需要协同工作，例如智能交通系统中的车辆和交通信号灯，它们需要在实时性的基础上保持协同，以避免交通事故和提高交通效率。因此，满足不同数据类型的时延需求是确保边缘算力网络正常运行的关键因素。</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随着智能网卡DPU的产生，RDMA（Remote Direct Memory Access）技术被广泛用于提供高性能、低延迟、高吞吐量的数据传输，在边缘计算集群中，各个边缘节点需要快速、可靠地交换大量数据，例如传感器数据、图像数据等。RDMA技术可以确保节点之间的实时数据传输，提供低延迟和高吞吐量，用于加速数据处理和分析。RDMA技术降低了服务器侧的处理时延，提升了计算和存储的效率，也减少了CPU资源的消耗。它也可能带来一些挑战，其中网络拥塞是其中之一。</w:t>
            </w:r>
          </w:p>
          <w:p>
            <w:pPr>
              <w:spacing w:line="312" w:lineRule="auto"/>
              <w:rPr>
                <w:rFonts w:hint="default"/>
                <w:b/>
                <w:sz w:val="24"/>
                <w:lang w:val="en-US" w:eastAsia="zh-CN"/>
              </w:rPr>
            </w:pPr>
            <w:r>
              <w:rPr>
                <w:rFonts w:hint="eastAsia"/>
                <w:b/>
                <w:sz w:val="24"/>
                <w:lang w:val="en-US" w:eastAsia="zh-CN"/>
              </w:rPr>
              <w:t>4国内外研究现状</w:t>
            </w:r>
          </w:p>
          <w:p>
            <w:pPr>
              <w:spacing w:line="312" w:lineRule="auto"/>
              <w:ind w:left="59" w:leftChars="28" w:firstLine="480" w:firstLineChars="200"/>
              <w:rPr>
                <w:rFonts w:hint="default" w:ascii="宋体" w:hAnsi="宋体"/>
                <w:sz w:val="24"/>
                <w:lang w:val="en-US" w:eastAsia="zh-CN"/>
              </w:rPr>
            </w:pPr>
            <w:r>
              <w:rPr>
                <w:rFonts w:hint="default" w:ascii="宋体" w:hAnsi="宋体"/>
                <w:sz w:val="24"/>
                <w:lang w:val="en-US" w:eastAsia="zh-CN"/>
              </w:rPr>
              <w:t>中国拥有世界上最大的工业体系，但在原有的工业网络中，面临着适配灵活性差、网络资源紧张、协同困难等多个问题。这些问题导致工业网络难以满足不断增长的数据处理需求和灵活业务变化的要求。如何在现有大规模基础设施的复杂连接之上，实现生产数据的实时采集、分析、处理和决策，以及底层工作设备的顺畅切换、使用、监测和警报，成为制造企业迫切需要解决的难题。同时，制造企业还面临控制成本、提高产能、保证产品质量等严峻挑战，这是推动工业智能化改造的迫切需求。</w:t>
            </w:r>
            <w:r>
              <w:rPr>
                <w:rFonts w:hint="default" w:ascii="宋体" w:hAnsi="宋体"/>
                <w:sz w:val="24"/>
                <w:lang w:val="en-US" w:eastAsia="zh-CN"/>
              </w:rPr>
              <w:br w:type="textWrapping"/>
            </w:r>
            <w:r>
              <w:rPr>
                <w:rFonts w:hint="eastAsia" w:ascii="宋体" w:hAnsi="宋体"/>
                <w:sz w:val="24"/>
                <w:lang w:val="en-US" w:eastAsia="zh-CN"/>
              </w:rPr>
              <w:t xml:space="preserve">    </w:t>
            </w:r>
            <w:r>
              <w:rPr>
                <w:rFonts w:hint="default" w:ascii="宋体" w:hAnsi="宋体"/>
                <w:sz w:val="24"/>
                <w:lang w:val="en-US" w:eastAsia="zh-CN"/>
              </w:rPr>
              <w:t>根据CISCO发布的《2020年全球网络趋势报告》，预计到2023年，全球将有约三分之二的人口和293亿终端设备连接到互联网。随着互联网用户数量的增长，每年产生的数据量也将急剧增加，其中约24.5%为实时数据。为了满足现代化制造的需求，工厂生产过程中将产生大量数据。传统的有限服务器无法满足智能制造的需求，因此云计算应运而生。然而，工业生产中需要实时响应、决策和反馈，需要低时延、高可靠性、更安全的服务。因此，提出了边缘计算的概念。</w:t>
            </w:r>
          </w:p>
          <w:p>
            <w:pPr>
              <w:spacing w:line="312" w:lineRule="auto"/>
              <w:ind w:left="59" w:leftChars="28" w:firstLine="480" w:firstLineChars="200"/>
              <w:rPr>
                <w:rFonts w:hint="default" w:ascii="宋体" w:hAnsi="宋体"/>
                <w:sz w:val="24"/>
                <w:lang w:val="en-US" w:eastAsia="zh-CN"/>
              </w:rPr>
            </w:pPr>
            <w:r>
              <w:rPr>
                <w:rFonts w:hint="default" w:ascii="宋体" w:hAnsi="宋体"/>
                <w:sz w:val="24"/>
                <w:lang w:val="en-US" w:eastAsia="zh-CN"/>
              </w:rPr>
              <w:t>边缘计算是一种新型分布式计算模型，致力于推动集中式云服务中心与移动网络融合。与云计算相比，边缘计算更接近用户，因此显著减少了任务响应与服务交付时延。然而，由于边缘计算服务器节点部署更靠近终端设备，离计算集群较远，常常面临资源短缺等问题。因此，融合了云计算和边缘计算的边云协同成为工业互联网发展的主流。边云协同将分布式边缘服务器节点与集中式云主站资源池有机结合，从资源、数据、接口、通信、安全等多方面切入，保障工业生产平稳高效、安全有序进行。</w:t>
            </w:r>
          </w:p>
          <w:p>
            <w:pPr>
              <w:spacing w:line="312" w:lineRule="auto"/>
              <w:ind w:left="59" w:leftChars="28" w:firstLine="480" w:firstLineChars="200"/>
              <w:rPr>
                <w:rFonts w:hint="default" w:ascii="宋体" w:hAnsi="宋体"/>
                <w:sz w:val="24"/>
                <w:lang w:val="en-US" w:eastAsia="zh-CN"/>
              </w:rPr>
            </w:pPr>
            <w:r>
              <w:rPr>
                <w:rFonts w:hint="default" w:ascii="宋体" w:hAnsi="宋体"/>
                <w:sz w:val="24"/>
                <w:lang w:val="en-US" w:eastAsia="zh-CN"/>
              </w:rPr>
              <w:t>当网络中出现大量数据包或数据分组，而网络未能及时处理这些数据，导致大量数据包积压在路由器的缓存队列中。随着缓存队列的增加，传输时延不断增加，进而降低网络处理数据包的能力，形成恶性循环，严重影响网络的传输效率。网络拥塞不仅会降低网络的传输性能，严重时还可能导致死锁现象，使网络瘫痪。在这种情况下，只能通过重置网络来解决，然而这可能会对网络硬件和软件造成损害，同时也会极大降低网络用户的满意度和体验。在计算机网络中，为了应对拥塞问题，我们在数据链路层、网络层和传输层都设置了相应的拥塞控制机制，以协调完成拥塞控制功能。</w:t>
            </w:r>
          </w:p>
          <w:p>
            <w:pPr>
              <w:numPr>
                <w:ilvl w:val="0"/>
                <w:numId w:val="1"/>
              </w:numPr>
              <w:spacing w:line="312" w:lineRule="auto"/>
              <w:ind w:left="425" w:leftChars="0" w:hanging="425" w:firstLineChars="0"/>
              <w:rPr>
                <w:rFonts w:hint="default" w:ascii="宋体" w:hAnsi="宋体"/>
                <w:sz w:val="24"/>
                <w:lang w:val="en-US" w:eastAsia="zh-CN"/>
              </w:rPr>
            </w:pPr>
            <w:r>
              <w:rPr>
                <w:rFonts w:hint="eastAsia" w:ascii="宋体" w:hAnsi="宋体"/>
                <w:sz w:val="24"/>
                <w:lang w:val="en-US" w:eastAsia="zh-CN"/>
              </w:rPr>
              <w:t xml:space="preserve">数据链路层拥塞控制 </w:t>
            </w:r>
          </w:p>
          <w:p>
            <w:pPr>
              <w:numPr>
                <w:ilvl w:val="0"/>
                <w:numId w:val="0"/>
              </w:numPr>
              <w:spacing w:line="312" w:lineRule="auto"/>
              <w:ind w:leftChars="0" w:firstLine="720" w:firstLineChars="300"/>
              <w:rPr>
                <w:rFonts w:hint="default" w:ascii="宋体" w:hAnsi="宋体"/>
                <w:sz w:val="24"/>
                <w:lang w:val="en-US" w:eastAsia="zh-CN"/>
              </w:rPr>
            </w:pPr>
            <w:r>
              <w:rPr>
                <w:rFonts w:hint="default" w:ascii="宋体" w:hAnsi="宋体"/>
                <w:sz w:val="24"/>
                <w:lang w:val="en-US" w:eastAsia="zh-CN"/>
              </w:rPr>
              <w:t>在数据链路层，我们采用流控制策略来控制发送端的发送速率，以确保网络负载在接收端处理能力范围内。这种策略分为基于反馈和基于速率的两种类型。基于反馈的流控制策略是接收端向发送方发送反馈信息，告知发送方当前网络负载情况，避免发送过多的数据包。而基于速率的流控制策略则采用特定机制，预先限制发送方的发送速率，使其不超过接收端的处理能力。因此，在数据链路层，我们使用这两种流控制策略，分别视为闭环和开环的控制机制。</w:t>
            </w:r>
          </w:p>
          <w:p>
            <w:pPr>
              <w:numPr>
                <w:ilvl w:val="0"/>
                <w:numId w:val="1"/>
              </w:numPr>
              <w:spacing w:line="312" w:lineRule="auto"/>
              <w:ind w:left="425" w:leftChars="0" w:hanging="425" w:firstLineChars="0"/>
              <w:rPr>
                <w:rFonts w:hint="eastAsia" w:ascii="宋体" w:hAnsi="宋体"/>
                <w:sz w:val="24"/>
                <w:lang w:val="en-US" w:eastAsia="zh-CN"/>
              </w:rPr>
            </w:pPr>
            <w:r>
              <w:rPr>
                <w:rFonts w:hint="eastAsia" w:ascii="宋体" w:hAnsi="宋体"/>
                <w:sz w:val="24"/>
                <w:lang w:val="en-US" w:eastAsia="zh-CN"/>
              </w:rPr>
              <w:t>网络层拥塞控制</w:t>
            </w:r>
          </w:p>
          <w:p>
            <w:pPr>
              <w:numPr>
                <w:ilvl w:val="0"/>
                <w:numId w:val="0"/>
              </w:numPr>
              <w:spacing w:line="312" w:lineRule="auto"/>
              <w:ind w:leftChars="0" w:firstLine="480" w:firstLineChars="200"/>
              <w:rPr>
                <w:rFonts w:hint="eastAsia" w:ascii="宋体" w:hAnsi="宋体"/>
                <w:sz w:val="24"/>
                <w:lang w:val="en-US" w:eastAsia="zh-CN"/>
              </w:rPr>
            </w:pPr>
            <w:r>
              <w:rPr>
                <w:rFonts w:hint="eastAsia" w:ascii="宋体" w:hAnsi="宋体"/>
                <w:sz w:val="24"/>
                <w:lang w:val="en-US" w:eastAsia="zh-CN"/>
              </w:rPr>
              <w:t>在网络层，拥塞控制通过路由器或交换机的队列管理算法来实现。具体来说，当数据包到达路由器或交换机的缓存队列时，如果队列中的数据包过多，队列管理算法会选择性地丢弃或标记缓存在队列中的分组。这种做法不仅可以直接减轻路由器端的负载，还能将丢包或标记的信息反馈给源端，促使传输协议采取措施降低发送速率。</w:t>
            </w:r>
          </w:p>
          <w:p>
            <w:pPr>
              <w:numPr>
                <w:ilvl w:val="0"/>
                <w:numId w:val="0"/>
              </w:numPr>
              <w:spacing w:line="312" w:lineRule="auto"/>
              <w:ind w:leftChars="0" w:firstLine="480" w:firstLineChars="200"/>
              <w:rPr>
                <w:rFonts w:hint="eastAsia" w:ascii="宋体" w:hAnsi="宋体"/>
                <w:sz w:val="24"/>
                <w:lang w:val="en-US" w:eastAsia="zh-CN"/>
              </w:rPr>
            </w:pPr>
            <w:r>
              <w:rPr>
                <w:rFonts w:hint="eastAsia" w:ascii="宋体" w:hAnsi="宋体"/>
                <w:sz w:val="24"/>
                <w:lang w:val="en-US" w:eastAsia="zh-CN"/>
              </w:rPr>
              <w:t>队列管理算法分为被动队列管理算法（Passive Queue Management, PQM）和主动队列管理算法（Active Queue Management, AQM）。被动管理算法相对简单，其中一个典型的例子是丢尾（Drop-tail）算法。当队列尺寸达到设定阀值时，丢尾算法会将所有到达的数据分组全部丢弃，否则，所有分组都不会丢弃。然而，这种静态管理算法可能引发网络的全局震荡，因此目前使用较少。</w:t>
            </w:r>
          </w:p>
          <w:p>
            <w:pPr>
              <w:numPr>
                <w:ilvl w:val="0"/>
                <w:numId w:val="0"/>
              </w:numPr>
              <w:spacing w:line="312" w:lineRule="auto"/>
              <w:ind w:leftChars="0" w:firstLine="480" w:firstLineChars="200"/>
              <w:rPr>
                <w:rFonts w:hint="eastAsia" w:ascii="宋体" w:hAnsi="宋体"/>
                <w:sz w:val="24"/>
                <w:lang w:val="en-US" w:eastAsia="zh-CN"/>
              </w:rPr>
            </w:pPr>
            <w:r>
              <w:rPr>
                <w:rFonts w:hint="eastAsia" w:ascii="宋体" w:hAnsi="宋体"/>
                <w:sz w:val="24"/>
                <w:lang w:val="en-US" w:eastAsia="zh-CN"/>
              </w:rPr>
              <w:t>主动队列管理算法根据检测器参数动态选择性丢包或不丢包，包括PID（Proportional-Integral-Derivative）和RED（Random Early Detection）等。RED算法采用随机化思想，当队列尺寸在某个值时，以一定概率丢包。尽管RED算法避免了全局震荡问题，但是其参数难以确定，因此衍生出了很多相关变种，例如Feng等人提出的一种AQM算法算法的核心思想是将阈值区间</w:t>
            </w:r>
            <w:r>
              <w:rPr>
                <w:rFonts w:hint="eastAsia" w:ascii="宋体" w:hAnsi="宋体"/>
                <w:position w:val="-12"/>
                <w:sz w:val="24"/>
                <w:lang w:val="en-US" w:eastAsia="zh-CN"/>
              </w:rPr>
              <w:object>
                <v:shape id="_x0000_i1025" o:spt="75" type="#_x0000_t75" style="height:18pt;width:69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ascii="宋体" w:hAnsi="宋体"/>
                <w:sz w:val="24"/>
                <w:lang w:val="en-US" w:eastAsia="zh-CN"/>
              </w:rPr>
              <w:t>三等分，之后在每个阈值区间内设置相应的丢弃函数，TRED算法巧妙地采用了分段丢弃策略，以适应不同网络负载下的需求。在低流量时，它优化了带宽利用，提高了网络的传输效率；而在高流量情况下，它通过降低数据的传输时延，确保了数据的快速到达。AQMRD算法是一种由Karmeshu等人提出的AQM（主动队列管理）算法。与传统的RED改进算法不同，AQMRD算法不仅考虑了队列的平均长度（ave），还引入了平均队列长度变化率（dave）和中间阈值（midth）这两个参数，以更全面地分析和反映网络的拥塞情况。AgRED算法是由Syed Talib等人提出的一种主动队列管理（AQM）算法。它专注于解决由于缓冲区队列溢出导致的严重丢包问题。与传统的RED算法不同，AgRED算法的核心思想是尽早丢弃数据包，以便及时调整缓冲区的队列长度，避免缓冲区过载。这种方法能够有效防止网络拥塞，提高网络性能。我们的研究工作也是在RED算法的基础上进行的。</w:t>
            </w:r>
          </w:p>
          <w:p>
            <w:pPr>
              <w:numPr>
                <w:ilvl w:val="0"/>
                <w:numId w:val="1"/>
              </w:numPr>
              <w:spacing w:line="312" w:lineRule="auto"/>
              <w:ind w:left="425" w:leftChars="0" w:hanging="425" w:firstLineChars="0"/>
              <w:rPr>
                <w:rFonts w:hint="eastAsia" w:ascii="宋体" w:hAnsi="宋体"/>
                <w:sz w:val="24"/>
                <w:lang w:val="en-US" w:eastAsia="zh-CN"/>
              </w:rPr>
            </w:pPr>
            <w:r>
              <w:rPr>
                <w:rFonts w:hint="eastAsia" w:ascii="宋体" w:hAnsi="宋体"/>
                <w:sz w:val="24"/>
                <w:lang w:val="en-US" w:eastAsia="zh-CN"/>
              </w:rPr>
              <w:t xml:space="preserve">传输层拥塞控制 </w:t>
            </w:r>
          </w:p>
          <w:p>
            <w:pPr>
              <w:numPr>
                <w:ilvl w:val="0"/>
                <w:numId w:val="0"/>
              </w:numPr>
              <w:spacing w:line="312" w:lineRule="auto"/>
              <w:ind w:leftChars="0" w:firstLine="480"/>
              <w:rPr>
                <w:rFonts w:hint="eastAsia" w:ascii="宋体" w:hAnsi="宋体"/>
                <w:sz w:val="24"/>
                <w:lang w:val="en-US" w:eastAsia="zh-CN"/>
              </w:rPr>
            </w:pPr>
            <w:r>
              <w:rPr>
                <w:rFonts w:hint="eastAsia" w:ascii="宋体" w:hAnsi="宋体"/>
                <w:sz w:val="24"/>
                <w:lang w:val="en-US" w:eastAsia="zh-CN"/>
              </w:rPr>
              <w:t>在传输层，使用TCP协议采用端到端的方式来控制发送速率以实现拥塞控制。TCP维护了接收方允许的窗口和拥塞窗口，前者由接收方提前告知发送端，控制发送速率，而后者则根据拥塞情况实时调整。拥塞控制的关键在于控制拥塞窗口的大小。目前，有一系列拥塞窗口管理机制，如慢启动、拥塞避免、快速重传、快速恢复等。在TCP拥塞控制中，主要发生在拥塞避免阶段，即在每个分组被确认时，拥塞窗口增加一；如果接收到三个重复的ACK，拥塞窗口大小减半。这种机制通常被称为AIMD（加性增、指数减）。</w:t>
            </w:r>
          </w:p>
          <w:p>
            <w:pPr>
              <w:numPr>
                <w:ilvl w:val="0"/>
                <w:numId w:val="0"/>
              </w:numPr>
              <w:spacing w:line="312" w:lineRule="auto"/>
              <w:ind w:leftChars="0" w:firstLine="480"/>
              <w:rPr>
                <w:rFonts w:hint="eastAsia" w:ascii="宋体" w:hAnsi="宋体"/>
                <w:sz w:val="24"/>
                <w:lang w:val="en-US" w:eastAsia="zh-CN"/>
              </w:rPr>
            </w:pPr>
            <w:r>
              <w:rPr>
                <w:rFonts w:hint="eastAsia" w:ascii="宋体" w:hAnsi="宋体"/>
                <w:sz w:val="24"/>
                <w:lang w:val="en-US" w:eastAsia="zh-CN"/>
              </w:rPr>
              <w:t>随着智能网卡的兴起，更多的网卡都支持无损网络协议</w:t>
            </w:r>
            <w:bookmarkStart w:id="1" w:name="_GoBack"/>
            <w:bookmarkEnd w:id="1"/>
            <w:r>
              <w:rPr>
                <w:rFonts w:hint="eastAsia" w:ascii="宋体" w:hAnsi="宋体"/>
                <w:sz w:val="24"/>
                <w:lang w:val="en-US" w:eastAsia="zh-CN"/>
              </w:rPr>
              <w:t>，无损网络是指一旦数据报文被发送，就不会在网络中丢失。这种设计旨在保持高带宽、低延迟和高可靠性。无损网络的特点是它不会浪费带宽和增加延迟，因为数据包不会在传输过程中丢失，避免了在有损网络中因丢包而需要进行重传的情况。然而，这种不丢包的策略也带来了一个挑战，即在网络拥塞时，如何有效降低拥塞带来的损失变得更加复杂。</w:t>
            </w:r>
          </w:p>
          <w:p>
            <w:pPr>
              <w:numPr>
                <w:ilvl w:val="0"/>
                <w:numId w:val="0"/>
              </w:numPr>
              <w:spacing w:line="312" w:lineRule="auto"/>
              <w:ind w:leftChars="0" w:firstLine="480"/>
              <w:rPr>
                <w:rFonts w:hint="eastAsia" w:ascii="宋体" w:hAnsi="宋体"/>
                <w:sz w:val="24"/>
                <w:lang w:val="en-US" w:eastAsia="zh-CN"/>
              </w:rPr>
            </w:pPr>
          </w:p>
          <w:p>
            <w:pPr>
              <w:numPr>
                <w:ilvl w:val="0"/>
                <w:numId w:val="0"/>
              </w:numPr>
              <w:spacing w:line="312" w:lineRule="auto"/>
              <w:ind w:leftChars="0"/>
              <w:rPr>
                <w:rFonts w:hint="default" w:ascii="宋体" w:hAnsi="宋体"/>
                <w:sz w:val="24"/>
                <w:lang w:val="en-US" w:eastAsia="zh-CN"/>
              </w:rPr>
            </w:pPr>
          </w:p>
          <w:p>
            <w:pPr>
              <w:numPr>
                <w:ilvl w:val="0"/>
                <w:numId w:val="0"/>
              </w:numPr>
              <w:spacing w:line="312" w:lineRule="auto"/>
              <w:ind w:leftChars="0" w:firstLine="480" w:firstLineChars="200"/>
              <w:rPr>
                <w:rFonts w:hint="eastAsia" w:ascii="宋体" w:hAnsi="宋体"/>
                <w:sz w:val="24"/>
                <w:lang w:val="en-US" w:eastAsia="zh-CN"/>
              </w:rPr>
            </w:pPr>
          </w:p>
          <w:p>
            <w:pPr>
              <w:numPr>
                <w:ilvl w:val="0"/>
                <w:numId w:val="0"/>
              </w:numPr>
              <w:spacing w:line="312" w:lineRule="auto"/>
              <w:ind w:leftChars="0"/>
              <w:rPr>
                <w:rFonts w:hint="eastAsia" w:ascii="宋体" w:hAnsi="宋体"/>
                <w:sz w:val="24"/>
                <w:lang w:val="en-US" w:eastAsia="zh-CN"/>
              </w:rPr>
            </w:pPr>
          </w:p>
          <w:p>
            <w:pPr>
              <w:numPr>
                <w:ilvl w:val="0"/>
                <w:numId w:val="0"/>
              </w:numPr>
              <w:spacing w:line="312" w:lineRule="auto"/>
              <w:ind w:leftChars="0" w:firstLine="720" w:firstLineChars="300"/>
              <w:rPr>
                <w:rFonts w:hint="default" w:ascii="宋体" w:hAnsi="宋体"/>
                <w:sz w:val="24"/>
                <w:lang w:val="en-US" w:eastAsia="zh-CN"/>
              </w:rPr>
            </w:pPr>
          </w:p>
          <w:p>
            <w:pPr>
              <w:spacing w:line="312" w:lineRule="auto"/>
              <w:ind w:left="59" w:leftChars="28" w:firstLine="480" w:firstLineChars="200"/>
              <w:rPr>
                <w:rFonts w:hint="default" w:ascii="宋体" w:hAnsi="宋体"/>
                <w:sz w:val="24"/>
                <w:lang w:val="en-US" w:eastAsia="zh-CN"/>
              </w:rPr>
            </w:pPr>
          </w:p>
          <w:p>
            <w:pPr>
              <w:spacing w:line="312" w:lineRule="auto"/>
              <w:ind w:left="59" w:leftChars="28" w:firstLine="480" w:firstLineChars="200"/>
              <w:rPr>
                <w:rFonts w:hint="default" w:ascii="宋体" w:hAnsi="宋体"/>
                <w:sz w:val="24"/>
                <w:lang w:val="en-US" w:eastAsia="zh-CN"/>
              </w:rPr>
            </w:pPr>
          </w:p>
        </w:tc>
      </w:tr>
    </w:tbl>
    <w:p>
      <w:pPr>
        <w:rPr>
          <w:rFonts w:eastAsia="黑体"/>
          <w:sz w:val="24"/>
        </w:rPr>
      </w:pPr>
      <w:r>
        <w:rPr>
          <w:rFonts w:eastAsia="黑体"/>
          <w:sz w:val="30"/>
        </w:rPr>
        <w:br w:type="page"/>
      </w:r>
      <w:r>
        <w:rPr>
          <w:rFonts w:hint="eastAsia" w:ascii="宋体" w:hAnsi="宋体"/>
          <w:b/>
          <w:sz w:val="30"/>
        </w:rPr>
        <w:t>二、文献综述</w:t>
      </w:r>
      <w:r>
        <w:rPr>
          <w:rFonts w:hint="eastAsia" w:ascii="宋体" w:hAnsi="宋体"/>
          <w:b/>
          <w:szCs w:val="21"/>
        </w:rPr>
        <w:t>（综述中引用的文献应按文中标注出现的顺序附后）</w:t>
      </w:r>
    </w:p>
    <w:tbl>
      <w:tblPr>
        <w:tblStyle w:val="8"/>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0" w:hRule="atLeast"/>
        </w:trPr>
        <w:tc>
          <w:tcPr>
            <w:tcW w:w="9185" w:type="dxa"/>
          </w:tcPr>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spacing w:line="312" w:lineRule="auto"/>
              <w:rPr>
                <w:b/>
                <w:bCs/>
                <w:sz w:val="24"/>
              </w:rPr>
            </w:pPr>
            <w:r>
              <w:rPr>
                <w:rFonts w:hint="eastAsia"/>
                <w:b/>
                <w:bCs/>
                <w:sz w:val="24"/>
              </w:rPr>
              <w:t>参考文献：</w:t>
            </w:r>
          </w:p>
          <w:p>
            <w:pPr>
              <w:wordWrap w:val="0"/>
              <w:spacing w:line="312" w:lineRule="auto"/>
              <w:ind w:left="420" w:hanging="420"/>
              <w:rPr>
                <w:sz w:val="24"/>
              </w:rPr>
            </w:pPr>
            <w:r>
              <w:rPr>
                <w:sz w:val="24"/>
              </w:rPr>
              <w:fldChar w:fldCharType="begin"/>
            </w:r>
            <w:r>
              <w:rPr>
                <w:sz w:val="24"/>
              </w:rPr>
              <w:instrText xml:space="preserve"> ADDIN EN.REFLIST </w:instrText>
            </w:r>
            <w:r>
              <w:rPr>
                <w:sz w:val="24"/>
              </w:rPr>
              <w:fldChar w:fldCharType="separate"/>
            </w:r>
            <w:r>
              <w:rPr>
                <w:sz w:val="24"/>
              </w:rPr>
              <w:t>[1]</w:t>
            </w:r>
            <w:r>
              <w:rPr>
                <w:sz w:val="24"/>
              </w:rPr>
              <w:tab/>
            </w:r>
            <w:r>
              <w:rPr>
                <w:sz w:val="24"/>
                <w:lang w:val="en-US" w:eastAsia="zh-CN"/>
              </w:rPr>
              <w:t>基于云、网、边融合的边缘计算新方案：算力网络</w:t>
            </w:r>
          </w:p>
          <w:p>
            <w:pPr>
              <w:wordWrap w:val="0"/>
              <w:spacing w:line="312" w:lineRule="auto"/>
              <w:ind w:left="420" w:hanging="420"/>
              <w:rPr>
                <w:sz w:val="24"/>
              </w:rPr>
            </w:pPr>
          </w:p>
          <w:p>
            <w:pPr>
              <w:wordWrap w:val="0"/>
              <w:spacing w:line="312" w:lineRule="auto"/>
              <w:ind w:left="420" w:hanging="420"/>
              <w:rPr>
                <w:sz w:val="24"/>
              </w:rPr>
            </w:pPr>
            <w:r>
              <w:rPr>
                <w:sz w:val="24"/>
              </w:rPr>
              <w:t>[2]</w:t>
            </w:r>
            <w:r>
              <w:rPr>
                <w:sz w:val="24"/>
              </w:rPr>
              <w:tab/>
            </w:r>
            <w:r>
              <w:rPr>
                <w:rFonts w:hint="eastAsia"/>
                <w:sz w:val="24"/>
                <w:lang w:val="en-US" w:eastAsia="zh-CN"/>
              </w:rPr>
              <w:t>不 稳 走 待 输 下 网 洛 捆 衾 检 测 及 调 度 算 法 研 先</w:t>
            </w:r>
          </w:p>
          <w:p>
            <w:pPr>
              <w:wordWrap w:val="0"/>
              <w:spacing w:line="312" w:lineRule="auto"/>
              <w:ind w:left="420" w:hanging="420"/>
              <w:rPr>
                <w:sz w:val="24"/>
              </w:rPr>
            </w:pPr>
          </w:p>
          <w:p>
            <w:pPr>
              <w:wordWrap w:val="0"/>
              <w:spacing w:line="312" w:lineRule="auto"/>
              <w:ind w:left="420" w:hanging="420"/>
              <w:rPr>
                <w:sz w:val="24"/>
              </w:rPr>
            </w:pPr>
            <w:r>
              <w:rPr>
                <w:sz w:val="24"/>
              </w:rPr>
              <w:t>[3]</w:t>
            </w:r>
            <w:r>
              <w:rPr>
                <w:sz w:val="24"/>
              </w:rPr>
              <w:tab/>
            </w:r>
            <w:r>
              <w:rPr>
                <w:sz w:val="24"/>
              </w:rPr>
              <w:t>Liu Z Y, Wang S, Dong D, et al. The Applications of Radiomics in Precision Diagnosis and Treatment of Oncology: Opportunities and Challenges[J]. Theranostics, 2019, 9(5): 1303-1322.</w:t>
            </w:r>
          </w:p>
          <w:p>
            <w:pPr>
              <w:wordWrap w:val="0"/>
              <w:spacing w:line="312" w:lineRule="auto"/>
              <w:ind w:left="420" w:hanging="420"/>
              <w:rPr>
                <w:sz w:val="24"/>
              </w:rPr>
            </w:pPr>
            <w:r>
              <w:rPr>
                <w:sz w:val="24"/>
              </w:rPr>
              <w:t>[4]</w:t>
            </w:r>
            <w:r>
              <w:rPr>
                <w:sz w:val="24"/>
              </w:rPr>
              <w:tab/>
            </w:r>
            <w:r>
              <w:rPr>
                <w:sz w:val="24"/>
              </w:rPr>
              <w:t>Wu J, Mayer A T, Li R J. Integrated imaging and molecular analysis to decipher tumor microenvironment in the era of immunotherapy[J]. Seminars in Cancer Biology, 2022, 84: 310-328.</w:t>
            </w:r>
          </w:p>
          <w:p>
            <w:pPr>
              <w:wordWrap w:val="0"/>
              <w:spacing w:line="312" w:lineRule="auto"/>
              <w:ind w:left="420" w:hanging="420"/>
              <w:rPr>
                <w:sz w:val="24"/>
              </w:rPr>
            </w:pPr>
            <w:r>
              <w:rPr>
                <w:sz w:val="24"/>
              </w:rPr>
              <w:t>[5]</w:t>
            </w:r>
            <w:r>
              <w:rPr>
                <w:sz w:val="24"/>
              </w:rPr>
              <w:tab/>
            </w:r>
            <w:r>
              <w:rPr>
                <w:sz w:val="24"/>
              </w:rPr>
              <w:t>Louis D N, Perry A, Wesseling P, et al. The 2021 WHO Classification of Tumors of the Central Nervous System: a summary[J]. Neuro-Oncology, 2021, 23(8): 1231-1251.</w:t>
            </w:r>
          </w:p>
          <w:p>
            <w:pPr>
              <w:wordWrap w:val="0"/>
              <w:spacing w:line="312" w:lineRule="auto"/>
              <w:ind w:left="420" w:hanging="420"/>
              <w:rPr>
                <w:sz w:val="24"/>
              </w:rPr>
            </w:pPr>
            <w:r>
              <w:rPr>
                <w:sz w:val="24"/>
              </w:rPr>
              <w:t>[6]</w:t>
            </w:r>
            <w:r>
              <w:rPr>
                <w:sz w:val="24"/>
              </w:rPr>
              <w:tab/>
            </w:r>
            <w:r>
              <w:rPr>
                <w:sz w:val="24"/>
              </w:rPr>
              <w:t>Tateishi K, Wakimoto H, Cahill D P. IDH1 Mutation and World Health Organization 2016 Diagnostic Criteria for Adult Diffuse Gliomas: Advances in Surgical Strategy[J]. Neurosurgery, 2017, 64: 134-138.</w:t>
            </w:r>
          </w:p>
          <w:p>
            <w:pPr>
              <w:wordWrap w:val="0"/>
              <w:spacing w:line="312" w:lineRule="auto"/>
              <w:ind w:left="420" w:hanging="420"/>
              <w:rPr>
                <w:sz w:val="24"/>
              </w:rPr>
            </w:pPr>
            <w:r>
              <w:rPr>
                <w:sz w:val="24"/>
              </w:rPr>
              <w:t>[7]</w:t>
            </w:r>
            <w:r>
              <w:rPr>
                <w:sz w:val="24"/>
              </w:rPr>
              <w:tab/>
            </w:r>
            <w:r>
              <w:rPr>
                <w:sz w:val="24"/>
              </w:rPr>
              <w:t>Jin W N, Fatehi M, Abhishek K, et al. Artificial intelligence in glioma imaging: challenges and advances[J]. Journal of Neural Engineering, 2020, 17(2).</w:t>
            </w:r>
          </w:p>
          <w:p>
            <w:pPr>
              <w:wordWrap w:val="0"/>
              <w:spacing w:line="312" w:lineRule="auto"/>
              <w:ind w:left="420" w:hanging="420"/>
              <w:rPr>
                <w:sz w:val="24"/>
              </w:rPr>
            </w:pPr>
            <w:r>
              <w:rPr>
                <w:sz w:val="24"/>
              </w:rPr>
              <w:t>[8]</w:t>
            </w:r>
            <w:r>
              <w:rPr>
                <w:sz w:val="24"/>
              </w:rPr>
              <w:tab/>
            </w:r>
            <w:r>
              <w:rPr>
                <w:sz w:val="24"/>
              </w:rPr>
              <w:t>Wang S, Yu H, Gan Y, et al. Mining whole-lung information by artificial intelligence for predicting EGFR genotype and targeted therapy response in lung cancer: a multicohort study[J]. The Lancet Digital Health, 2022, 4(5): e309-e319.</w:t>
            </w:r>
          </w:p>
          <w:p>
            <w:pPr>
              <w:wordWrap w:val="0"/>
              <w:spacing w:line="312" w:lineRule="auto"/>
              <w:ind w:left="420" w:hanging="420"/>
              <w:rPr>
                <w:sz w:val="24"/>
              </w:rPr>
            </w:pPr>
            <w:r>
              <w:rPr>
                <w:sz w:val="24"/>
              </w:rPr>
              <w:t>[9]</w:t>
            </w:r>
            <w:r>
              <w:rPr>
                <w:sz w:val="24"/>
              </w:rPr>
              <w:tab/>
            </w:r>
            <w:r>
              <w:rPr>
                <w:sz w:val="24"/>
              </w:rPr>
              <w:t>Vobugari N, Raja V, Sethi U, et al. Advancements in Oncology with Artificial Intelligence-A Review Article[J]. Cancers, 2022, 14(5).</w:t>
            </w:r>
          </w:p>
          <w:p>
            <w:pPr>
              <w:wordWrap w:val="0"/>
              <w:spacing w:line="312" w:lineRule="auto"/>
              <w:ind w:left="420" w:hanging="420"/>
              <w:rPr>
                <w:sz w:val="24"/>
              </w:rPr>
            </w:pPr>
            <w:r>
              <w:rPr>
                <w:sz w:val="24"/>
              </w:rPr>
              <w:t>[10]</w:t>
            </w:r>
            <w:r>
              <w:rPr>
                <w:sz w:val="24"/>
              </w:rPr>
              <w:tab/>
            </w:r>
            <w:r>
              <w:rPr>
                <w:sz w:val="24"/>
              </w:rPr>
              <w:t>Lambin P, Rios-Velazquez E, Leijenaar R, et al. Radiomics: Extracting more information from medical images using advanced feature analysis[J]. European Journal of Cancer, 2012, 48(4): 441-446.</w:t>
            </w:r>
          </w:p>
          <w:p>
            <w:pPr>
              <w:wordWrap w:val="0"/>
              <w:spacing w:line="312" w:lineRule="auto"/>
              <w:ind w:left="420" w:hanging="420"/>
              <w:rPr>
                <w:sz w:val="24"/>
              </w:rPr>
            </w:pPr>
            <w:r>
              <w:rPr>
                <w:sz w:val="24"/>
              </w:rPr>
              <w:t>[11]</w:t>
            </w:r>
            <w:r>
              <w:rPr>
                <w:sz w:val="24"/>
              </w:rPr>
              <w:tab/>
            </w:r>
            <w:r>
              <w:rPr>
                <w:sz w:val="24"/>
              </w:rPr>
              <w:t>Huang S G, Yang J, Fong S, et al. Artificial intelligence in cancer diagnosis and prognosis: Opportunities and challenges[J]. Cancer Letters, 2020, 471: 61-71.</w:t>
            </w:r>
          </w:p>
          <w:p>
            <w:pPr>
              <w:wordWrap w:val="0"/>
              <w:spacing w:line="312" w:lineRule="auto"/>
              <w:ind w:left="420" w:hanging="420"/>
              <w:rPr>
                <w:sz w:val="24"/>
              </w:rPr>
            </w:pPr>
            <w:r>
              <w:rPr>
                <w:sz w:val="24"/>
              </w:rPr>
              <w:t>[12]</w:t>
            </w:r>
            <w:r>
              <w:rPr>
                <w:sz w:val="24"/>
              </w:rPr>
              <w:tab/>
            </w:r>
            <w:r>
              <w:rPr>
                <w:sz w:val="24"/>
              </w:rPr>
              <w:t>Lu C F, Hsu F T, Hsieh K L C, et al. Machine Learning-Based Radiomics for Molecular Subtyping of Gliomas[J]. Clinical Cancer Research, 2018, 24(18): 4429-4436.</w:t>
            </w:r>
          </w:p>
          <w:p>
            <w:pPr>
              <w:wordWrap w:val="0"/>
              <w:spacing w:line="312" w:lineRule="auto"/>
              <w:ind w:left="420" w:hanging="420"/>
              <w:rPr>
                <w:sz w:val="24"/>
              </w:rPr>
            </w:pPr>
            <w:r>
              <w:rPr>
                <w:sz w:val="24"/>
              </w:rPr>
              <w:t>[13]</w:t>
            </w:r>
            <w:r>
              <w:rPr>
                <w:sz w:val="24"/>
              </w:rPr>
              <w:tab/>
            </w:r>
            <w:r>
              <w:rPr>
                <w:sz w:val="24"/>
              </w:rPr>
              <w:t>Liu Z Y, Meng X C, Zhang H M, et al. Predicting distant metastasis and chemotherapy benefit in locally advanced rectal cancer[J]. Nature Communications, 2020, 11(1).</w:t>
            </w:r>
          </w:p>
          <w:p>
            <w:pPr>
              <w:wordWrap w:val="0"/>
              <w:spacing w:line="312" w:lineRule="auto"/>
              <w:ind w:left="420" w:hanging="420"/>
              <w:rPr>
                <w:sz w:val="24"/>
              </w:rPr>
            </w:pPr>
            <w:r>
              <w:rPr>
                <w:sz w:val="24"/>
              </w:rPr>
              <w:t>[14]</w:t>
            </w:r>
            <w:r>
              <w:rPr>
                <w:sz w:val="24"/>
              </w:rPr>
              <w:tab/>
            </w:r>
            <w:r>
              <w:rPr>
                <w:sz w:val="24"/>
              </w:rPr>
              <w:t>Liu X Y, Zhang D F, Liu Z Y, et al. Deep learning radiomics-based prediction of distant metastasis in patients with locally advanced rectal cancer after neoadjuvant chemoradiotherapy: A multicentre study[J]. Ebiomedicine, 2021, 69.</w:t>
            </w:r>
          </w:p>
          <w:p>
            <w:pPr>
              <w:wordWrap w:val="0"/>
              <w:spacing w:line="312" w:lineRule="auto"/>
              <w:ind w:left="420" w:hanging="420"/>
              <w:rPr>
                <w:sz w:val="24"/>
              </w:rPr>
            </w:pPr>
            <w:r>
              <w:rPr>
                <w:sz w:val="24"/>
              </w:rPr>
              <w:t>[15]</w:t>
            </w:r>
            <w:r>
              <w:rPr>
                <w:sz w:val="24"/>
              </w:rPr>
              <w:tab/>
            </w:r>
            <w:r>
              <w:rPr>
                <w:sz w:val="24"/>
              </w:rPr>
              <w:t>Jin C, Yu H, Ke J, et al. Predicting treatment response from longitudinal images using multi-task deep learning[J]. Nature Communications, 2021, 12(1).</w:t>
            </w:r>
          </w:p>
          <w:p>
            <w:pPr>
              <w:wordWrap w:val="0"/>
              <w:spacing w:line="312" w:lineRule="auto"/>
              <w:ind w:left="420" w:hanging="420"/>
              <w:rPr>
                <w:sz w:val="24"/>
              </w:rPr>
            </w:pPr>
            <w:r>
              <w:rPr>
                <w:sz w:val="24"/>
              </w:rPr>
              <w:t>[16]</w:t>
            </w:r>
            <w:r>
              <w:rPr>
                <w:sz w:val="24"/>
              </w:rPr>
              <w:tab/>
            </w:r>
            <w:r>
              <w:rPr>
                <w:sz w:val="24"/>
              </w:rPr>
              <w:t>Li X Q, Gao H, Zhu J, et al. 3D Deep Learning Model for the Pretreatment Evaluation of Treatment Response in Esophageal Carcinoma: A Prospective Study (ChiCTR2000039279)[J]. International Journal of Radiation Oncology Biology Physics, 2021, 111(4): 926-935.</w:t>
            </w:r>
          </w:p>
          <w:p>
            <w:pPr>
              <w:wordWrap w:val="0"/>
              <w:spacing w:line="312" w:lineRule="auto"/>
              <w:ind w:left="420" w:hanging="420"/>
              <w:rPr>
                <w:sz w:val="24"/>
              </w:rPr>
            </w:pPr>
            <w:r>
              <w:rPr>
                <w:sz w:val="24"/>
              </w:rPr>
              <w:t>[17]</w:t>
            </w:r>
            <w:r>
              <w:rPr>
                <w:sz w:val="24"/>
              </w:rPr>
              <w:tab/>
            </w:r>
            <w:r>
              <w:rPr>
                <w:sz w:val="24"/>
              </w:rPr>
              <w:t>Chen X, Chen Z, Li J, et al. Model-Driven Deep Learning Method for Pancreatic Cancer Segmentation Based on Spiral-Transformation[J]. IEEE Transactions on Medical Imaging, 2022, 41(1): 75-87.</w:t>
            </w:r>
          </w:p>
          <w:p>
            <w:pPr>
              <w:wordWrap w:val="0"/>
              <w:spacing w:line="312" w:lineRule="auto"/>
              <w:ind w:left="420" w:hanging="420"/>
              <w:rPr>
                <w:sz w:val="24"/>
              </w:rPr>
            </w:pPr>
            <w:r>
              <w:rPr>
                <w:sz w:val="24"/>
              </w:rPr>
              <w:t>[18]</w:t>
            </w:r>
            <w:r>
              <w:rPr>
                <w:sz w:val="24"/>
              </w:rPr>
              <w:tab/>
            </w:r>
            <w:r>
              <w:rPr>
                <w:sz w:val="24"/>
              </w:rPr>
              <w:t>Liu S, Johns E, Davison A J. End-to-end multi-task learning with attention[C]//Proceedings of the IEEE/CVF conference on computer vision and pattern recognition. 2019. 1871-1880.</w:t>
            </w:r>
          </w:p>
          <w:p>
            <w:pPr>
              <w:wordWrap w:val="0"/>
              <w:spacing w:line="312" w:lineRule="auto"/>
              <w:ind w:left="420" w:hanging="420"/>
              <w:rPr>
                <w:sz w:val="24"/>
              </w:rPr>
            </w:pPr>
            <w:r>
              <w:rPr>
                <w:sz w:val="24"/>
              </w:rPr>
              <w:t>[19]</w:t>
            </w:r>
            <w:r>
              <w:rPr>
                <w:sz w:val="24"/>
              </w:rPr>
              <w:tab/>
            </w:r>
            <w:r>
              <w:rPr>
                <w:sz w:val="24"/>
              </w:rPr>
              <w:t>Gerlinger M. Intratumor Heterogeneity and Branched Evolution Revealed by Multiregion Sequencing (vol 366, pg 883, 2012)[J]. New England Journal of Medicine, 2012, 367(10): 976-976.</w:t>
            </w:r>
          </w:p>
          <w:p>
            <w:pPr>
              <w:wordWrap w:val="0"/>
              <w:spacing w:line="312" w:lineRule="auto"/>
              <w:ind w:left="420" w:hanging="420"/>
              <w:rPr>
                <w:sz w:val="24"/>
              </w:rPr>
            </w:pPr>
            <w:r>
              <w:rPr>
                <w:sz w:val="24"/>
              </w:rPr>
              <w:t>[20]</w:t>
            </w:r>
            <w:r>
              <w:rPr>
                <w:sz w:val="24"/>
              </w:rPr>
              <w:tab/>
            </w:r>
            <w:r>
              <w:rPr>
                <w:sz w:val="24"/>
              </w:rPr>
              <w:t>Bi W L, Hosny A, Schabath M B, et al. Artificial intelligence in cancer imaging: Clinical challenges and applications[J]. Ca-a Cancer Journal for Clinicians, 2019, 69(2): 127-157.</w:t>
            </w:r>
          </w:p>
          <w:p>
            <w:pPr>
              <w:wordWrap w:val="0"/>
              <w:spacing w:line="312" w:lineRule="auto"/>
              <w:ind w:left="420" w:hanging="420"/>
              <w:rPr>
                <w:sz w:val="24"/>
              </w:rPr>
            </w:pPr>
            <w:r>
              <w:rPr>
                <w:sz w:val="24"/>
              </w:rPr>
              <w:t>[21]</w:t>
            </w:r>
            <w:r>
              <w:rPr>
                <w:sz w:val="24"/>
              </w:rPr>
              <w:tab/>
            </w:r>
            <w:r>
              <w:rPr>
                <w:sz w:val="24"/>
              </w:rPr>
              <w:t>Chen L, Zhang H, Lu J F, et al. Multi-Label Nonlinear Matrix Completion With Transductive Multi-Task Feature Selection for Joint MGMT and IDH1 Status Prediction of Patient With High-Grade Gliomas[J]. IEEE Transactions on Medical Imaging, 2018, 37(8): 1775-1787.</w:t>
            </w:r>
          </w:p>
          <w:p>
            <w:pPr>
              <w:wordWrap w:val="0"/>
              <w:spacing w:line="312" w:lineRule="auto"/>
              <w:ind w:left="420" w:hanging="420"/>
              <w:rPr>
                <w:sz w:val="24"/>
              </w:rPr>
            </w:pPr>
            <w:r>
              <w:rPr>
                <w:sz w:val="24"/>
              </w:rPr>
              <w:t>[22]</w:t>
            </w:r>
            <w:r>
              <w:rPr>
                <w:sz w:val="24"/>
              </w:rPr>
              <w:tab/>
            </w:r>
            <w:r>
              <w:rPr>
                <w:sz w:val="24"/>
              </w:rPr>
              <w:t>Aerts H J W L, Velazquez E R, Leijenaar R T H, et al. Decoding tumour phenotype by noninvasive imaging using a quantitative radiomics approach[J]. Nature Communications, 2014, 5.</w:t>
            </w:r>
          </w:p>
          <w:p>
            <w:pPr>
              <w:wordWrap w:val="0"/>
              <w:spacing w:line="312" w:lineRule="auto"/>
              <w:ind w:left="420" w:hanging="420"/>
              <w:rPr>
                <w:sz w:val="24"/>
              </w:rPr>
            </w:pPr>
            <w:r>
              <w:rPr>
                <w:sz w:val="24"/>
              </w:rPr>
              <w:t>[23]</w:t>
            </w:r>
            <w:r>
              <w:rPr>
                <w:sz w:val="24"/>
              </w:rPr>
              <w:tab/>
            </w:r>
            <w:r>
              <w:rPr>
                <w:sz w:val="24"/>
              </w:rPr>
              <w:t>Lambin P, Leijenaar R T H, Deist T M, et al. Radiomics: the bridge between medical imaging and personalized medicine[J]. Nature Reviews Clinical Oncology, 2017, 14(12): 749-762.</w:t>
            </w:r>
          </w:p>
          <w:p>
            <w:pPr>
              <w:wordWrap w:val="0"/>
              <w:spacing w:line="312" w:lineRule="auto"/>
              <w:ind w:left="420" w:hanging="420"/>
              <w:rPr>
                <w:sz w:val="24"/>
              </w:rPr>
            </w:pPr>
            <w:r>
              <w:rPr>
                <w:sz w:val="24"/>
              </w:rPr>
              <w:t>[24]</w:t>
            </w:r>
            <w:r>
              <w:rPr>
                <w:sz w:val="24"/>
              </w:rPr>
              <w:tab/>
            </w:r>
            <w:r>
              <w:rPr>
                <w:sz w:val="24"/>
              </w:rPr>
              <w:t>Bai Y, Lin Y S, Tian J, et al. Grading of Gliomas by Using Monoexponential, Biexponential, and Stretched Exponential Diffusion-weighted MR Imaging and Diffusion Kurtosis MR Imaging[J]. Radiology, 2016, 278(2): 496-504.</w:t>
            </w:r>
          </w:p>
          <w:p>
            <w:pPr>
              <w:wordWrap w:val="0"/>
              <w:spacing w:line="312" w:lineRule="auto"/>
              <w:ind w:left="420" w:hanging="420"/>
              <w:rPr>
                <w:sz w:val="24"/>
              </w:rPr>
            </w:pPr>
            <w:r>
              <w:rPr>
                <w:sz w:val="24"/>
              </w:rPr>
              <w:t>[25]</w:t>
            </w:r>
            <w:r>
              <w:rPr>
                <w:sz w:val="24"/>
              </w:rPr>
              <w:tab/>
            </w:r>
            <w:r>
              <w:rPr>
                <w:sz w:val="24"/>
              </w:rPr>
              <w:t>Zhang X, Tian Q, Wang L, et al. Radiomics Strategy for Molecular Subtype Stratification of Lower-Grade Glioma: Detecting IDH and TP53 Mutations Based on Multimodal MRI[J]. Journal of Magnetic Resonance Imaging, 2018, 48(4): 916-926.</w:t>
            </w:r>
          </w:p>
          <w:p>
            <w:pPr>
              <w:wordWrap w:val="0"/>
              <w:spacing w:line="312" w:lineRule="auto"/>
              <w:ind w:left="420" w:hanging="420"/>
              <w:rPr>
                <w:sz w:val="24"/>
              </w:rPr>
            </w:pPr>
            <w:r>
              <w:rPr>
                <w:sz w:val="24"/>
              </w:rPr>
              <w:t>[26]</w:t>
            </w:r>
            <w:r>
              <w:rPr>
                <w:sz w:val="24"/>
              </w:rPr>
              <w:tab/>
            </w:r>
            <w:r>
              <w:rPr>
                <w:sz w:val="24"/>
              </w:rPr>
              <w:t>Kim M, Jung S Y, Park J E, et al. Diffusion- and perfusion-weighted MRI radiomics model may predict isocitrate dehydrogenase (IDH) mutation and tumor aggressiveness in diffuse lower grade glioma[J]. European Radiology, 2020, 30(4): 2142-2151.</w:t>
            </w:r>
          </w:p>
          <w:p>
            <w:pPr>
              <w:wordWrap w:val="0"/>
              <w:spacing w:line="312" w:lineRule="auto"/>
              <w:ind w:left="420" w:hanging="420"/>
              <w:rPr>
                <w:sz w:val="24"/>
              </w:rPr>
            </w:pPr>
            <w:r>
              <w:rPr>
                <w:sz w:val="24"/>
              </w:rPr>
              <w:t>[27]</w:t>
            </w:r>
            <w:r>
              <w:rPr>
                <w:sz w:val="24"/>
              </w:rPr>
              <w:tab/>
            </w:r>
            <w:r>
              <w:rPr>
                <w:sz w:val="24"/>
              </w:rPr>
              <w:t>Peng H, Huo J H, Li B, et al. Predicting Isocitrate Dehydrogenase (IDH) Mutation Status in Gliomas Using Multiparameter MRI Radiomics Features[J]. Journal of Magnetic Resonance Imaging, 2021, 53(5): 1399-1407.</w:t>
            </w:r>
          </w:p>
          <w:p>
            <w:pPr>
              <w:wordWrap w:val="0"/>
              <w:spacing w:line="312" w:lineRule="auto"/>
              <w:ind w:left="420" w:hanging="420"/>
              <w:rPr>
                <w:sz w:val="24"/>
              </w:rPr>
            </w:pPr>
            <w:r>
              <w:rPr>
                <w:sz w:val="24"/>
              </w:rPr>
              <w:t>[28]</w:t>
            </w:r>
            <w:r>
              <w:rPr>
                <w:sz w:val="24"/>
              </w:rPr>
              <w:tab/>
            </w:r>
            <w:r>
              <w:rPr>
                <w:sz w:val="24"/>
              </w:rPr>
              <w:t>Wang P, Berzin T M, Brown J R G, et al. Real-time automatic detection system increases colonoscopic polyp and adenoma detection rates: a prospective randomised controlled study[J]. Gut, 2019, 68(10): 1813-1819.</w:t>
            </w:r>
          </w:p>
          <w:p>
            <w:pPr>
              <w:wordWrap w:val="0"/>
              <w:spacing w:line="312" w:lineRule="auto"/>
              <w:ind w:left="420" w:hanging="420"/>
              <w:rPr>
                <w:sz w:val="24"/>
              </w:rPr>
            </w:pPr>
            <w:r>
              <w:rPr>
                <w:sz w:val="24"/>
              </w:rPr>
              <w:t>[29]</w:t>
            </w:r>
            <w:r>
              <w:rPr>
                <w:sz w:val="24"/>
              </w:rPr>
              <w:tab/>
            </w:r>
            <w:r>
              <w:rPr>
                <w:sz w:val="24"/>
              </w:rPr>
              <w:t>Rodriguez-Ruiz A, Lang K, Gubern-Merida A, et al. Can we reduce the workload of mammographic screening by automatic identification of normal exams with artificial intelligence? A feasibility study[J]. European Radiology, 2019, 29(9): 4825-4832.</w:t>
            </w:r>
          </w:p>
          <w:p>
            <w:pPr>
              <w:wordWrap w:val="0"/>
              <w:spacing w:line="312" w:lineRule="auto"/>
              <w:ind w:left="420" w:hanging="420"/>
              <w:rPr>
                <w:sz w:val="24"/>
              </w:rPr>
            </w:pPr>
            <w:r>
              <w:rPr>
                <w:sz w:val="24"/>
              </w:rPr>
              <w:t>[30]</w:t>
            </w:r>
            <w:r>
              <w:rPr>
                <w:sz w:val="24"/>
              </w:rPr>
              <w:tab/>
            </w:r>
            <w:r>
              <w:rPr>
                <w:sz w:val="24"/>
              </w:rPr>
              <w:t>Chang K, Bai H X, Zhou H, et al. Residual Convolutional Neural Network for the Determination of IDH Status in Low- and High-Grade Gliomas from MR Imaging[J]. Clinical Cancer Research, 2018, 24(5): 1073-1081.</w:t>
            </w:r>
          </w:p>
          <w:p>
            <w:pPr>
              <w:wordWrap w:val="0"/>
              <w:spacing w:line="312" w:lineRule="auto"/>
              <w:ind w:left="420" w:hanging="420"/>
              <w:rPr>
                <w:sz w:val="24"/>
              </w:rPr>
            </w:pPr>
            <w:r>
              <w:rPr>
                <w:sz w:val="24"/>
              </w:rPr>
              <w:t>[31]</w:t>
            </w:r>
            <w:r>
              <w:rPr>
                <w:sz w:val="24"/>
              </w:rPr>
              <w:tab/>
            </w:r>
            <w:r>
              <w:rPr>
                <w:sz w:val="24"/>
              </w:rPr>
              <w:t>Choi K S, Choi S H, Jeong B. Prediction of IDH genotype in gliomas with dynamic susceptibility contrast perfusion MR imaging using an explainable recurrent neural network[J]. Neuro-Oncology, 2019, 21(9): 1197-1209.</w:t>
            </w:r>
          </w:p>
          <w:p>
            <w:pPr>
              <w:wordWrap w:val="0"/>
              <w:spacing w:line="312" w:lineRule="auto"/>
              <w:ind w:left="420" w:hanging="420"/>
              <w:rPr>
                <w:sz w:val="24"/>
              </w:rPr>
            </w:pPr>
            <w:r>
              <w:rPr>
                <w:sz w:val="24"/>
              </w:rPr>
              <w:t>[32]</w:t>
            </w:r>
            <w:r>
              <w:rPr>
                <w:sz w:val="24"/>
              </w:rPr>
              <w:tab/>
            </w:r>
            <w:r>
              <w:rPr>
                <w:sz w:val="24"/>
              </w:rPr>
              <w:t>Matsui Y, Maruyama T, Nitta M, et al. Prediction of lower-grade glioma molecular subtypes using deep learning[J]. Journal of Neuro-Oncology, 2020, 146(2): 321-327.</w:t>
            </w:r>
          </w:p>
          <w:p>
            <w:pPr>
              <w:wordWrap w:val="0"/>
              <w:spacing w:line="312" w:lineRule="auto"/>
              <w:ind w:left="420" w:hanging="420"/>
              <w:rPr>
                <w:sz w:val="24"/>
              </w:rPr>
            </w:pPr>
            <w:r>
              <w:rPr>
                <w:sz w:val="24"/>
              </w:rPr>
              <w:t>[33]</w:t>
            </w:r>
            <w:r>
              <w:rPr>
                <w:sz w:val="24"/>
              </w:rPr>
              <w:tab/>
            </w:r>
            <w:r>
              <w:rPr>
                <w:sz w:val="24"/>
              </w:rPr>
              <w:t>Choi Y S, Bae S, Chang J H, et al. Fully automated hybrid approach to predict the IDH mutation status of gliomas via deep learning and radiomics[J]. Neuro-Oncology, 2021, 23(2): 304-313.</w:t>
            </w:r>
          </w:p>
          <w:p>
            <w:pPr>
              <w:wordWrap w:val="0"/>
              <w:spacing w:line="312" w:lineRule="auto"/>
              <w:ind w:left="420" w:hanging="420"/>
              <w:rPr>
                <w:sz w:val="24"/>
              </w:rPr>
            </w:pPr>
            <w:r>
              <w:rPr>
                <w:sz w:val="24"/>
              </w:rPr>
              <w:t>[34]</w:t>
            </w:r>
            <w:r>
              <w:rPr>
                <w:sz w:val="24"/>
              </w:rPr>
              <w:tab/>
            </w:r>
            <w:r>
              <w:rPr>
                <w:sz w:val="24"/>
              </w:rPr>
              <w:t>Parmar C, Velazquez E R, Leijenaar R, et al. Robust Radiomics Feature Quantification Using Semiautomatic Volumetric Segmentation[J]. Plos One, 2014, 9(7).</w:t>
            </w:r>
          </w:p>
          <w:p>
            <w:pPr>
              <w:wordWrap w:val="0"/>
              <w:spacing w:line="312" w:lineRule="auto"/>
              <w:ind w:left="420" w:hanging="420"/>
              <w:rPr>
                <w:sz w:val="24"/>
              </w:rPr>
            </w:pPr>
            <w:r>
              <w:rPr>
                <w:sz w:val="24"/>
              </w:rPr>
              <w:t>[35]</w:t>
            </w:r>
            <w:r>
              <w:rPr>
                <w:sz w:val="24"/>
              </w:rPr>
              <w:tab/>
            </w:r>
            <w:r>
              <w:rPr>
                <w:sz w:val="24"/>
              </w:rPr>
              <w:t>Khan M A, Lali I U, Rehman A, et al. Brain tumor detection and classification: A framework of marker-based watershed algorithm and multilevel priority features selection[J]. Microscopy Research and Technique, 2019, 82(6): 909-922.</w:t>
            </w:r>
          </w:p>
          <w:p>
            <w:pPr>
              <w:wordWrap w:val="0"/>
              <w:spacing w:line="312" w:lineRule="auto"/>
              <w:ind w:left="420" w:hanging="420"/>
              <w:rPr>
                <w:sz w:val="24"/>
              </w:rPr>
            </w:pPr>
            <w:r>
              <w:rPr>
                <w:sz w:val="24"/>
              </w:rPr>
              <w:t>[36]</w:t>
            </w:r>
            <w:r>
              <w:rPr>
                <w:sz w:val="24"/>
              </w:rPr>
              <w:tab/>
            </w:r>
            <w:r>
              <w:rPr>
                <w:sz w:val="24"/>
              </w:rPr>
              <w:t>Long J, Shelhamer E, Darrell T. Fully convolutional networks for semantic segmentation[C]//Proceedings of the IEEE conference on computer vision and pattern recognition. 2015. 3431-3440.</w:t>
            </w:r>
          </w:p>
          <w:p>
            <w:pPr>
              <w:wordWrap w:val="0"/>
              <w:spacing w:line="312" w:lineRule="auto"/>
              <w:ind w:left="420" w:hanging="420"/>
              <w:rPr>
                <w:sz w:val="24"/>
              </w:rPr>
            </w:pPr>
            <w:r>
              <w:rPr>
                <w:sz w:val="24"/>
              </w:rPr>
              <w:t>[37]</w:t>
            </w:r>
            <w:r>
              <w:rPr>
                <w:sz w:val="24"/>
              </w:rPr>
              <w:tab/>
            </w:r>
            <w:r>
              <w:rPr>
                <w:sz w:val="24"/>
              </w:rPr>
              <w:t>Ronneberger O, Fischer P, Brox T. U-net: Convolutional networks for biomedical image segmentation[C]//International Conference on Medical image computing and computer-assisted intervention. 2015. Springer, 234-241.</w:t>
            </w:r>
          </w:p>
          <w:p>
            <w:pPr>
              <w:wordWrap w:val="0"/>
              <w:spacing w:line="312" w:lineRule="auto"/>
              <w:ind w:left="420" w:hanging="420"/>
              <w:rPr>
                <w:sz w:val="24"/>
              </w:rPr>
            </w:pPr>
            <w:r>
              <w:rPr>
                <w:sz w:val="24"/>
              </w:rPr>
              <w:t>[38]</w:t>
            </w:r>
            <w:r>
              <w:rPr>
                <w:sz w:val="24"/>
              </w:rPr>
              <w:tab/>
            </w:r>
            <w:r>
              <w:rPr>
                <w:sz w:val="24"/>
              </w:rPr>
              <w:t>Milletari F, Navab N, Ahmadi S-A. V-net: Fully convolutional neural networks for volumetric medical image segmentation[C]//2016 fourth international conference on 3D vision (3DV). 2016. IEEE, 565-571.</w:t>
            </w:r>
          </w:p>
          <w:p>
            <w:pPr>
              <w:wordWrap w:val="0"/>
              <w:spacing w:line="312" w:lineRule="auto"/>
              <w:ind w:left="420" w:hanging="420"/>
              <w:rPr>
                <w:sz w:val="24"/>
              </w:rPr>
            </w:pPr>
            <w:r>
              <w:rPr>
                <w:sz w:val="24"/>
              </w:rPr>
              <w:t>[39]</w:t>
            </w:r>
            <w:r>
              <w:rPr>
                <w:sz w:val="24"/>
              </w:rPr>
              <w:tab/>
            </w:r>
            <w:r>
              <w:rPr>
                <w:sz w:val="24"/>
              </w:rPr>
              <w:t>Badrinarayanan V, Kendall A, Cipolla R. Segnet: A deep convolutional encoder-decoder architecture for image segmentation[J]. IEEE transactions on pattern analysis and machine intelligence, 2017, 39(12): 2481-2495.</w:t>
            </w:r>
          </w:p>
          <w:p>
            <w:pPr>
              <w:wordWrap w:val="0"/>
              <w:spacing w:line="312" w:lineRule="auto"/>
              <w:ind w:left="420" w:hanging="420"/>
              <w:rPr>
                <w:sz w:val="24"/>
              </w:rPr>
            </w:pPr>
            <w:r>
              <w:rPr>
                <w:sz w:val="24"/>
              </w:rPr>
              <w:t>[40]</w:t>
            </w:r>
            <w:r>
              <w:rPr>
                <w:sz w:val="24"/>
              </w:rPr>
              <w:tab/>
            </w:r>
            <w:r>
              <w:rPr>
                <w:sz w:val="24"/>
              </w:rPr>
              <w:t>Xiao X, Lian S, Luo Z, et al. Weighted res-unet for high-quality retina vessel segmentation[C]//2018 9th international conference on information technology in medicine and education (ITME). 2018. IEEE, 327-331.</w:t>
            </w:r>
          </w:p>
          <w:p>
            <w:pPr>
              <w:wordWrap w:val="0"/>
              <w:spacing w:line="312" w:lineRule="auto"/>
              <w:ind w:left="420" w:hanging="420"/>
              <w:rPr>
                <w:sz w:val="24"/>
              </w:rPr>
            </w:pPr>
            <w:r>
              <w:rPr>
                <w:sz w:val="24"/>
              </w:rPr>
              <w:t>[41]</w:t>
            </w:r>
            <w:r>
              <w:rPr>
                <w:sz w:val="24"/>
              </w:rPr>
              <w:tab/>
            </w:r>
            <w:r>
              <w:rPr>
                <w:sz w:val="24"/>
              </w:rPr>
              <w:t>Guan S, Khan A A, Sikdar S, et al. Fully dense UNet for 2-D sparse photoacoustic tomography artifact removal[J]. IEEE journal of biomedical and health informatics, 2019, 24(2): 568-576.</w:t>
            </w:r>
          </w:p>
          <w:p>
            <w:pPr>
              <w:wordWrap w:val="0"/>
              <w:spacing w:line="312" w:lineRule="auto"/>
              <w:ind w:left="420" w:hanging="420"/>
              <w:rPr>
                <w:sz w:val="24"/>
              </w:rPr>
            </w:pPr>
            <w:r>
              <w:rPr>
                <w:sz w:val="24"/>
              </w:rPr>
              <w:t>[42]</w:t>
            </w:r>
            <w:r>
              <w:rPr>
                <w:sz w:val="24"/>
              </w:rPr>
              <w:tab/>
            </w:r>
            <w:r>
              <w:rPr>
                <w:sz w:val="24"/>
              </w:rPr>
              <w:t>He K, Zhang X, Ren S, et al. Deep residual learning for image recognition[C]//Proceedings of the IEEE conference on computer vision and pattern recognition. 2016. 770-778.</w:t>
            </w:r>
          </w:p>
          <w:p>
            <w:pPr>
              <w:wordWrap w:val="0"/>
              <w:spacing w:line="312" w:lineRule="auto"/>
              <w:ind w:left="420" w:hanging="420"/>
              <w:rPr>
                <w:sz w:val="24"/>
              </w:rPr>
            </w:pPr>
            <w:r>
              <w:rPr>
                <w:sz w:val="24"/>
              </w:rPr>
              <w:t>[43]</w:t>
            </w:r>
            <w:r>
              <w:rPr>
                <w:sz w:val="24"/>
              </w:rPr>
              <w:tab/>
            </w:r>
            <w:r>
              <w:rPr>
                <w:sz w:val="24"/>
              </w:rPr>
              <w:t>Huang G, Liu Z, Van Der Maaten L, et al. Densely connected convolutional networks[C]//Proceedings of the IEEE conference on computer vision and pattern recognition. 2017. 4700-4708.</w:t>
            </w:r>
          </w:p>
          <w:p>
            <w:pPr>
              <w:wordWrap w:val="0"/>
              <w:spacing w:line="312" w:lineRule="auto"/>
              <w:ind w:left="420" w:hanging="420"/>
              <w:rPr>
                <w:sz w:val="24"/>
              </w:rPr>
            </w:pPr>
            <w:r>
              <w:rPr>
                <w:sz w:val="24"/>
              </w:rPr>
              <w:t>[44]</w:t>
            </w:r>
            <w:r>
              <w:rPr>
                <w:sz w:val="24"/>
              </w:rPr>
              <w:tab/>
            </w:r>
            <w:r>
              <w:rPr>
                <w:sz w:val="24"/>
              </w:rPr>
              <w:t>Wang Y, Deng Z, Hu X, et al. Deep attentional features for prostate segmentation in ultrasound[C]//International Conference on Medical Image Computing and Computer-Assisted Intervention. 2018. Springer, 523-530.</w:t>
            </w:r>
          </w:p>
          <w:p>
            <w:pPr>
              <w:wordWrap w:val="0"/>
              <w:spacing w:line="312" w:lineRule="auto"/>
              <w:ind w:left="420" w:hanging="420"/>
              <w:rPr>
                <w:sz w:val="24"/>
              </w:rPr>
            </w:pPr>
            <w:r>
              <w:rPr>
                <w:sz w:val="24"/>
              </w:rPr>
              <w:t>[45]</w:t>
            </w:r>
            <w:r>
              <w:rPr>
                <w:sz w:val="24"/>
              </w:rPr>
              <w:tab/>
            </w:r>
            <w:r>
              <w:rPr>
                <w:sz w:val="24"/>
              </w:rPr>
              <w:t>Myronenko A. 3D MRI brain tumor segmentation using autoencoder regularization[C]//International MICCAI Brainlesion Workshop. 2018. Springer, 311-320.</w:t>
            </w:r>
          </w:p>
          <w:p>
            <w:pPr>
              <w:wordWrap w:val="0"/>
              <w:spacing w:line="312" w:lineRule="auto"/>
              <w:ind w:left="420" w:hanging="420"/>
              <w:rPr>
                <w:sz w:val="24"/>
              </w:rPr>
            </w:pPr>
            <w:r>
              <w:rPr>
                <w:sz w:val="24"/>
              </w:rPr>
              <w:t>[46]</w:t>
            </w:r>
            <w:r>
              <w:rPr>
                <w:sz w:val="24"/>
              </w:rPr>
              <w:tab/>
            </w:r>
            <w:r>
              <w:rPr>
                <w:sz w:val="24"/>
              </w:rPr>
              <w:t>Chen S, Ma K, Zheng Y. Med3d: Transfer learning for 3d medical image analysis[J]. arXiv preprint arXiv:190400625, 2019.</w:t>
            </w:r>
          </w:p>
          <w:p>
            <w:pPr>
              <w:wordWrap w:val="0"/>
              <w:spacing w:line="312" w:lineRule="auto"/>
              <w:ind w:left="420" w:hanging="420"/>
              <w:rPr>
                <w:sz w:val="24"/>
              </w:rPr>
            </w:pPr>
            <w:r>
              <w:rPr>
                <w:sz w:val="24"/>
              </w:rPr>
              <w:t>[47]</w:t>
            </w:r>
            <w:r>
              <w:rPr>
                <w:sz w:val="24"/>
              </w:rPr>
              <w:tab/>
            </w:r>
            <w:r>
              <w:rPr>
                <w:sz w:val="24"/>
              </w:rPr>
              <w:t>Singh V K, Rashwan H A, Romani S, et al. Breast tumor segmentation and shape classification in mammograms using generative adversarial and convolutional neural network[J]. Expert Systems with Applications, 2020, 139: 112855.</w:t>
            </w:r>
          </w:p>
          <w:p>
            <w:pPr>
              <w:wordWrap w:val="0"/>
              <w:spacing w:line="312" w:lineRule="auto"/>
              <w:ind w:left="420" w:hanging="420"/>
              <w:rPr>
                <w:sz w:val="24"/>
              </w:rPr>
            </w:pPr>
            <w:r>
              <w:rPr>
                <w:sz w:val="24"/>
              </w:rPr>
              <w:t>[48]</w:t>
            </w:r>
            <w:r>
              <w:rPr>
                <w:sz w:val="24"/>
              </w:rPr>
              <w:tab/>
            </w:r>
            <w:r>
              <w:rPr>
                <w:sz w:val="24"/>
              </w:rPr>
              <w:t>Akil M, Saouli R, Kachouri R. Fully automatic brain tumor segmentation with deep learning-based selective attention using overlapping patches and multi-class weighted cross-entropy[J]. Medical Image Analysis, 2020, 63: 101692.</w:t>
            </w:r>
          </w:p>
          <w:p>
            <w:pPr>
              <w:wordWrap w:val="0"/>
              <w:spacing w:line="312" w:lineRule="auto"/>
              <w:ind w:left="420" w:hanging="420"/>
              <w:rPr>
                <w:sz w:val="24"/>
              </w:rPr>
            </w:pPr>
            <w:r>
              <w:rPr>
                <w:sz w:val="24"/>
              </w:rPr>
              <w:t>[49]</w:t>
            </w:r>
            <w:r>
              <w:rPr>
                <w:sz w:val="24"/>
              </w:rPr>
              <w:tab/>
            </w:r>
            <w:r>
              <w:rPr>
                <w:sz w:val="24"/>
              </w:rPr>
              <w:t>Xie Y, Zhang J, Lu H, et al. SESV: Accurate medical image segmentation by predicting and correcting errors[J]. IEEE Transactions on Medical Imaging, 2020, 40(1): 286-296.</w:t>
            </w:r>
          </w:p>
          <w:p>
            <w:pPr>
              <w:wordWrap w:val="0"/>
              <w:spacing w:line="312" w:lineRule="auto"/>
              <w:ind w:left="420" w:hanging="420"/>
              <w:rPr>
                <w:sz w:val="24"/>
              </w:rPr>
            </w:pPr>
            <w:r>
              <w:rPr>
                <w:sz w:val="24"/>
              </w:rPr>
              <w:t>[50]</w:t>
            </w:r>
            <w:r>
              <w:rPr>
                <w:sz w:val="24"/>
              </w:rPr>
              <w:tab/>
            </w:r>
            <w:r>
              <w:rPr>
                <w:sz w:val="24"/>
              </w:rPr>
              <w:t>Hatamizadeh A, Tang Y, Nath V, et al. Unetr: Transformers for 3d medical image segmentation[C]//Proceedings of the IEEE/CVF Winter Conference on Applications of Computer Vision. 2022. 574-584.</w:t>
            </w:r>
          </w:p>
          <w:p>
            <w:pPr>
              <w:wordWrap w:val="0"/>
              <w:spacing w:line="312" w:lineRule="auto"/>
              <w:ind w:left="420" w:hanging="420"/>
              <w:rPr>
                <w:sz w:val="24"/>
              </w:rPr>
            </w:pPr>
            <w:r>
              <w:rPr>
                <w:sz w:val="24"/>
              </w:rPr>
              <w:t>[51]</w:t>
            </w:r>
            <w:r>
              <w:rPr>
                <w:sz w:val="24"/>
              </w:rPr>
              <w:tab/>
            </w:r>
            <w:r>
              <w:rPr>
                <w:sz w:val="24"/>
              </w:rPr>
              <w:t>Dosovitskiy A, Beyer L, Kolesnikov A, et al. An image is worth 16x16 words: Transformers for image recognition at scale[J]. arXiv preprint arXiv:201011929, 2020.</w:t>
            </w:r>
          </w:p>
          <w:p>
            <w:pPr>
              <w:wordWrap w:val="0"/>
              <w:spacing w:line="312" w:lineRule="auto"/>
              <w:ind w:left="420" w:hanging="420"/>
              <w:rPr>
                <w:sz w:val="24"/>
              </w:rPr>
            </w:pPr>
            <w:r>
              <w:rPr>
                <w:sz w:val="24"/>
              </w:rPr>
              <w:t>[52]</w:t>
            </w:r>
            <w:r>
              <w:rPr>
                <w:sz w:val="24"/>
              </w:rPr>
              <w:tab/>
            </w:r>
            <w:r>
              <w:rPr>
                <w:sz w:val="24"/>
              </w:rPr>
              <w:t>Hatamizadeh A, Nath V, Tang Y, et al. Swin unetr: Swin transformers for semantic segmentation of brain tumors in mri images[C]//International MICCAI Brainlesion Workshop. 2022. Springer, 272-284.</w:t>
            </w:r>
          </w:p>
          <w:p>
            <w:pPr>
              <w:wordWrap w:val="0"/>
              <w:spacing w:line="312" w:lineRule="auto"/>
              <w:ind w:left="420" w:hanging="420"/>
              <w:rPr>
                <w:sz w:val="24"/>
              </w:rPr>
            </w:pPr>
            <w:r>
              <w:rPr>
                <w:sz w:val="24"/>
              </w:rPr>
              <w:t>[53]</w:t>
            </w:r>
            <w:r>
              <w:rPr>
                <w:sz w:val="24"/>
              </w:rPr>
              <w:tab/>
            </w:r>
            <w:r>
              <w:rPr>
                <w:sz w:val="24"/>
              </w:rPr>
              <w:t>Tang Y, Yang D, Li W, et al. Self-supervised pre-training of swin transformers for 3d medical image analysis[C]//Proceedings of the IEEE/CVF Conference on Computer Vision and Pattern Recognition. 2022. 20730-20740.</w:t>
            </w:r>
          </w:p>
          <w:p>
            <w:pPr>
              <w:wordWrap w:val="0"/>
              <w:spacing w:line="312" w:lineRule="auto"/>
              <w:ind w:left="420" w:hanging="420"/>
              <w:rPr>
                <w:sz w:val="24"/>
              </w:rPr>
            </w:pPr>
            <w:r>
              <w:rPr>
                <w:sz w:val="24"/>
              </w:rPr>
              <w:t>[54]</w:t>
            </w:r>
            <w:r>
              <w:rPr>
                <w:sz w:val="24"/>
              </w:rPr>
              <w:tab/>
            </w:r>
            <w:r>
              <w:rPr>
                <w:sz w:val="24"/>
              </w:rPr>
              <w:t>Liu Z, Lin Y, Cao Y, et al. Swin transformer: Hierarchical vision transformer using shifted windows[C]//Proceedings of the IEEE/CVF International Conference on Computer Vision. 2021. 10012-10022.</w:t>
            </w:r>
          </w:p>
          <w:p>
            <w:pPr>
              <w:wordWrap w:val="0"/>
              <w:spacing w:line="312" w:lineRule="auto"/>
              <w:ind w:left="420" w:hanging="420"/>
              <w:rPr>
                <w:sz w:val="24"/>
              </w:rPr>
            </w:pPr>
            <w:r>
              <w:rPr>
                <w:sz w:val="24"/>
              </w:rPr>
              <w:t>[55]</w:t>
            </w:r>
            <w:r>
              <w:rPr>
                <w:sz w:val="24"/>
              </w:rPr>
              <w:tab/>
            </w:r>
            <w:r>
              <w:rPr>
                <w:sz w:val="24"/>
              </w:rPr>
              <w:t>Laukamp K R, Thiele F, Shakirin G, et al. Fully automated detection and segmentation of meningiomas using deep learning on routine multiparametric MRI[J]. European Radiology, 2019, 29(1): 124-132.</w:t>
            </w:r>
          </w:p>
          <w:p>
            <w:pPr>
              <w:wordWrap w:val="0"/>
              <w:spacing w:line="312" w:lineRule="auto"/>
              <w:ind w:left="420" w:hanging="420"/>
              <w:rPr>
                <w:sz w:val="24"/>
              </w:rPr>
            </w:pPr>
            <w:r>
              <w:rPr>
                <w:sz w:val="24"/>
              </w:rPr>
              <w:t>[56]</w:t>
            </w:r>
            <w:r>
              <w:rPr>
                <w:sz w:val="24"/>
              </w:rPr>
              <w:tab/>
            </w:r>
            <w:r>
              <w:rPr>
                <w:sz w:val="24"/>
              </w:rPr>
              <w:t>Chang K, Beers A L, Bai H X, et al. Automatic assessment of glioma burden: a deep learning algorithm for fully automated volumetric and bidimensional measurement[J]. Neuro-Oncology, 2019, 21(11): 1412-1422.</w:t>
            </w:r>
          </w:p>
          <w:p>
            <w:pPr>
              <w:wordWrap w:val="0"/>
              <w:spacing w:line="312" w:lineRule="auto"/>
              <w:ind w:left="420" w:hanging="420"/>
              <w:rPr>
                <w:sz w:val="24"/>
              </w:rPr>
            </w:pPr>
            <w:r>
              <w:rPr>
                <w:sz w:val="24"/>
              </w:rPr>
              <w:t>[57]</w:t>
            </w:r>
            <w:r>
              <w:rPr>
                <w:sz w:val="24"/>
              </w:rPr>
              <w:tab/>
            </w:r>
            <w:r>
              <w:rPr>
                <w:sz w:val="24"/>
              </w:rPr>
              <w:t>Bakas S, Akbari H, Sotiras A, et al. Data Descriptor: Advancing The Cancer Genome Atlas glioma MRI collections with expert segmentation labels and radiomic features[J]. Scientific Data, 2017, 4.</w:t>
            </w:r>
          </w:p>
          <w:p>
            <w:pPr>
              <w:wordWrap w:val="0"/>
              <w:spacing w:line="312" w:lineRule="auto"/>
              <w:ind w:left="420" w:hanging="420"/>
              <w:rPr>
                <w:sz w:val="24"/>
              </w:rPr>
            </w:pPr>
            <w:r>
              <w:rPr>
                <w:sz w:val="24"/>
              </w:rPr>
              <w:t>[58]</w:t>
            </w:r>
            <w:r>
              <w:rPr>
                <w:sz w:val="24"/>
              </w:rPr>
              <w:tab/>
            </w:r>
            <w:r>
              <w:rPr>
                <w:sz w:val="24"/>
              </w:rPr>
              <w:t>Zhang B, Chang K, Ramkissoon S, et al. Multimodal MRI features predict isocitrate dehydrogenase genotype in high-grade gliomas[J]. Neuro-Onco</w:t>
            </w:r>
            <w:r>
              <w:rPr>
                <w:rFonts w:hint="eastAsia"/>
                <w:sz w:val="24"/>
              </w:rPr>
              <w:t>logy</w:t>
            </w:r>
            <w:r>
              <w:rPr>
                <w:sz w:val="24"/>
              </w:rPr>
              <w:t>, 2017, 19(1): 109-117.</w:t>
            </w:r>
          </w:p>
          <w:p>
            <w:pPr>
              <w:wordWrap w:val="0"/>
              <w:spacing w:line="312" w:lineRule="auto"/>
              <w:ind w:left="420" w:hanging="420"/>
              <w:rPr>
                <w:sz w:val="24"/>
              </w:rPr>
            </w:pPr>
            <w:r>
              <w:rPr>
                <w:sz w:val="24"/>
              </w:rPr>
              <w:t>[59]</w:t>
            </w:r>
            <w:r>
              <w:rPr>
                <w:sz w:val="24"/>
              </w:rPr>
              <w:tab/>
            </w:r>
            <w:r>
              <w:rPr>
                <w:sz w:val="24"/>
              </w:rPr>
              <w:t>Sun C, Tian X, Liu Z, et al. Radiomic analysis for pretreatment prediction of response to neoadjuvant chemotherapy in locally advanced cervical cancer: A multicentre study[J]. Ebiomedicine, 2019, 46: 160-169.</w:t>
            </w:r>
          </w:p>
          <w:p>
            <w:pPr>
              <w:wordWrap w:val="0"/>
              <w:spacing w:line="312" w:lineRule="auto"/>
              <w:ind w:left="420" w:hanging="420"/>
              <w:rPr>
                <w:sz w:val="24"/>
              </w:rPr>
            </w:pPr>
            <w:r>
              <w:rPr>
                <w:sz w:val="24"/>
              </w:rPr>
              <w:t>[60]</w:t>
            </w:r>
            <w:r>
              <w:rPr>
                <w:sz w:val="24"/>
              </w:rPr>
              <w:tab/>
            </w:r>
            <w:r>
              <w:rPr>
                <w:sz w:val="24"/>
              </w:rPr>
              <w:t>Hatt M, Lucia F, Schick U, et al. Multicentric validation of radiomics findings: challenges and opportunities[J]. Ebiomedicine, 2019, 47: 20-21.</w:t>
            </w:r>
          </w:p>
          <w:p>
            <w:pPr>
              <w:wordWrap w:val="0"/>
              <w:spacing w:line="312" w:lineRule="auto"/>
              <w:ind w:left="420" w:hanging="420"/>
              <w:rPr>
                <w:sz w:val="24"/>
              </w:rPr>
            </w:pPr>
            <w:r>
              <w:rPr>
                <w:sz w:val="24"/>
              </w:rPr>
              <w:t>[61]</w:t>
            </w:r>
            <w:r>
              <w:rPr>
                <w:sz w:val="24"/>
              </w:rPr>
              <w:tab/>
            </w:r>
            <w:r>
              <w:rPr>
                <w:sz w:val="24"/>
              </w:rPr>
              <w:t>Li Y P, Ammari S, Lawrance L, et al. Radiomics-Based Method for Predicting the Glioma Subtype as Defined by Tumor Grade, IDH Mutation, and 1p/19q Codeletion[J]. Cancers, 2022, 14(7).</w:t>
            </w:r>
          </w:p>
          <w:p>
            <w:pPr>
              <w:wordWrap w:val="0"/>
              <w:spacing w:line="312" w:lineRule="auto"/>
              <w:ind w:left="420" w:hanging="420"/>
              <w:rPr>
                <w:sz w:val="24"/>
              </w:rPr>
            </w:pPr>
            <w:r>
              <w:rPr>
                <w:sz w:val="24"/>
              </w:rPr>
              <w:t>[62]</w:t>
            </w:r>
            <w:r>
              <w:rPr>
                <w:sz w:val="24"/>
              </w:rPr>
              <w:tab/>
            </w:r>
            <w:r>
              <w:rPr>
                <w:sz w:val="24"/>
              </w:rPr>
              <w:t>Limkin E J, Sun R, Dercle L, et al. Promises and challenges for the implementation of computational medical imaging (radiomics) in oncology[J]. Ann</w:t>
            </w:r>
            <w:r>
              <w:rPr>
                <w:rFonts w:hint="eastAsia"/>
                <w:sz w:val="24"/>
              </w:rPr>
              <w:t>als</w:t>
            </w:r>
            <w:r>
              <w:rPr>
                <w:sz w:val="24"/>
              </w:rPr>
              <w:t xml:space="preserve"> </w:t>
            </w:r>
            <w:r>
              <w:rPr>
                <w:rFonts w:hint="eastAsia"/>
                <w:sz w:val="24"/>
              </w:rPr>
              <w:t>of</w:t>
            </w:r>
            <w:r>
              <w:rPr>
                <w:sz w:val="24"/>
              </w:rPr>
              <w:t xml:space="preserve"> Onco</w:t>
            </w:r>
            <w:r>
              <w:rPr>
                <w:rFonts w:hint="eastAsia"/>
                <w:sz w:val="24"/>
              </w:rPr>
              <w:t>logy</w:t>
            </w:r>
            <w:r>
              <w:rPr>
                <w:sz w:val="24"/>
              </w:rPr>
              <w:t>, 2017, 28(6): 1191-1206.</w:t>
            </w:r>
          </w:p>
          <w:p>
            <w:pPr>
              <w:wordWrap w:val="0"/>
              <w:spacing w:line="312" w:lineRule="auto"/>
              <w:ind w:left="420" w:hanging="420"/>
              <w:rPr>
                <w:sz w:val="24"/>
              </w:rPr>
            </w:pPr>
            <w:r>
              <w:rPr>
                <w:sz w:val="24"/>
              </w:rPr>
              <w:t>[63]</w:t>
            </w:r>
            <w:r>
              <w:rPr>
                <w:sz w:val="24"/>
              </w:rPr>
              <w:tab/>
            </w:r>
            <w:r>
              <w:rPr>
                <w:sz w:val="24"/>
              </w:rPr>
              <w:t>Korfiatis P, Kline T L, Lachance D H, et al. Residual Deep Convolutional Neural Network Predicts MGMT Methylation Status[J]. Journal of Digital Imaging, 2017, 30(5): 622-628.</w:t>
            </w:r>
          </w:p>
          <w:p>
            <w:pPr>
              <w:wordWrap w:val="0"/>
              <w:spacing w:line="312" w:lineRule="auto"/>
              <w:ind w:left="420" w:hanging="420"/>
              <w:rPr>
                <w:sz w:val="24"/>
              </w:rPr>
            </w:pPr>
            <w:r>
              <w:rPr>
                <w:sz w:val="24"/>
              </w:rPr>
              <w:t>[64]</w:t>
            </w:r>
            <w:r>
              <w:rPr>
                <w:sz w:val="24"/>
              </w:rPr>
              <w:tab/>
            </w:r>
            <w:r>
              <w:rPr>
                <w:sz w:val="24"/>
              </w:rPr>
              <w:t>Khan S, Islam N, Jan Z, et al. A novel deep learning based framework for the detection and classification of breast cancer using transfer learning[J]. Pattern Recognition Letters, 2019, 125: 1-6.</w:t>
            </w:r>
          </w:p>
          <w:p>
            <w:pPr>
              <w:wordWrap w:val="0"/>
              <w:spacing w:line="312" w:lineRule="auto"/>
              <w:ind w:left="420" w:hanging="420"/>
              <w:rPr>
                <w:sz w:val="24"/>
              </w:rPr>
            </w:pPr>
            <w:r>
              <w:rPr>
                <w:sz w:val="24"/>
              </w:rPr>
              <w:t>[65]</w:t>
            </w:r>
            <w:r>
              <w:rPr>
                <w:sz w:val="24"/>
              </w:rPr>
              <w:tab/>
            </w:r>
            <w:r>
              <w:rPr>
                <w:sz w:val="24"/>
              </w:rPr>
              <w:t>Tang Z Y, Xu Y Y, Jin L, et al. Deep Learning of Imaging Phenotype and Genotype for Predicting Overall Survival Time of Glioblastoma Patients[J]. IEEE Transactions on Medical Imaging, 2020, 39(6): 2100-2109.</w:t>
            </w:r>
          </w:p>
          <w:p>
            <w:pPr>
              <w:wordWrap w:val="0"/>
              <w:spacing w:line="312" w:lineRule="auto"/>
              <w:ind w:left="420" w:hanging="420"/>
              <w:rPr>
                <w:sz w:val="24"/>
              </w:rPr>
            </w:pPr>
            <w:r>
              <w:rPr>
                <w:sz w:val="24"/>
              </w:rPr>
              <w:t>[66]</w:t>
            </w:r>
            <w:r>
              <w:rPr>
                <w:sz w:val="24"/>
              </w:rPr>
              <w:tab/>
            </w:r>
            <w:r>
              <w:rPr>
                <w:sz w:val="24"/>
              </w:rPr>
              <w:t>Lessmann N, Van Ginneken B, Zreik M, et al. Automatic Calcium Scoring in Low-Dose Chest CT Using Deep Neural Networks With Dilated Convolutions[J]. IEEE Transactions on Medical Imaging, 2018, 37(2): 615-625.</w:t>
            </w:r>
          </w:p>
          <w:p>
            <w:pPr>
              <w:wordWrap w:val="0"/>
              <w:spacing w:line="312" w:lineRule="auto"/>
              <w:ind w:left="420" w:hanging="420"/>
              <w:rPr>
                <w:sz w:val="24"/>
              </w:rPr>
            </w:pPr>
            <w:r>
              <w:rPr>
                <w:sz w:val="24"/>
              </w:rPr>
              <w:t>[67]</w:t>
            </w:r>
            <w:r>
              <w:rPr>
                <w:sz w:val="24"/>
              </w:rPr>
              <w:tab/>
            </w:r>
            <w:r>
              <w:rPr>
                <w:sz w:val="24"/>
              </w:rPr>
              <w:t>Zhang J, Liu M X, Shen D G. Detecting Anatomical Landmarks From Limited Medical Imaging Data Using Two-Stage Task-Oriented Deep Neural Networks[J]. IEEE Transactions on Image Processing, 2017, 26(10): 4753-4764.</w:t>
            </w:r>
          </w:p>
          <w:p>
            <w:pPr>
              <w:wordWrap w:val="0"/>
              <w:spacing w:line="312" w:lineRule="auto"/>
              <w:ind w:left="420" w:hanging="420"/>
              <w:rPr>
                <w:sz w:val="24"/>
              </w:rPr>
            </w:pPr>
            <w:r>
              <w:rPr>
                <w:sz w:val="24"/>
              </w:rPr>
              <w:t>[68]</w:t>
            </w:r>
            <w:r>
              <w:rPr>
                <w:sz w:val="24"/>
              </w:rPr>
              <w:tab/>
            </w:r>
            <w:r>
              <w:rPr>
                <w:sz w:val="24"/>
              </w:rPr>
              <w:t>Zhou C H, Ding C X, Wang X C, et al. One-Pass Multi-Task Networks With Cross-Task Guided Attention for Brain Tumor Segmentation[J]. IEEE Transactions on Image Processing, 2020, 29: 4516-4529.</w:t>
            </w:r>
          </w:p>
          <w:p>
            <w:pPr>
              <w:wordWrap w:val="0"/>
              <w:spacing w:line="312" w:lineRule="auto"/>
              <w:ind w:left="420" w:hanging="420"/>
              <w:rPr>
                <w:sz w:val="24"/>
              </w:rPr>
            </w:pPr>
            <w:r>
              <w:rPr>
                <w:sz w:val="24"/>
              </w:rPr>
              <w:t>[69]</w:t>
            </w:r>
            <w:r>
              <w:rPr>
                <w:sz w:val="24"/>
              </w:rPr>
              <w:tab/>
            </w:r>
            <w:r>
              <w:rPr>
                <w:sz w:val="24"/>
              </w:rPr>
              <w:t>Sinha A, Dolz J. Multi-Scale Self-Guided Attention for Medical Image Segmentation[J]. IEEE Journal of Biomedical and Health Informatics, 2021, 25(1): 121-130.</w:t>
            </w:r>
          </w:p>
          <w:p>
            <w:pPr>
              <w:wordWrap w:val="0"/>
              <w:spacing w:line="312" w:lineRule="auto"/>
              <w:ind w:left="420" w:hanging="420"/>
              <w:rPr>
                <w:sz w:val="24"/>
              </w:rPr>
            </w:pPr>
            <w:r>
              <w:rPr>
                <w:sz w:val="24"/>
              </w:rPr>
              <w:t>[70]</w:t>
            </w:r>
            <w:r>
              <w:rPr>
                <w:sz w:val="24"/>
              </w:rPr>
              <w:tab/>
            </w:r>
            <w:r>
              <w:rPr>
                <w:sz w:val="24"/>
              </w:rPr>
              <w:t>Liu Z H, Tong L, Chen L, et al. CANet: Context Aware Network for Brain Glioma Segmentation[J]. IEEE Transactions on Medical Imaging, 2021, 40(7): 1763-1777.</w:t>
            </w:r>
          </w:p>
          <w:p>
            <w:pPr>
              <w:wordWrap w:val="0"/>
              <w:spacing w:line="312" w:lineRule="auto"/>
              <w:ind w:left="420" w:hanging="420"/>
              <w:rPr>
                <w:sz w:val="24"/>
              </w:rPr>
            </w:pPr>
            <w:r>
              <w:rPr>
                <w:sz w:val="24"/>
              </w:rPr>
              <w:t>[71]</w:t>
            </w:r>
            <w:r>
              <w:rPr>
                <w:sz w:val="24"/>
              </w:rPr>
              <w:tab/>
            </w:r>
            <w:r>
              <w:rPr>
                <w:sz w:val="24"/>
              </w:rPr>
              <w:t>Zhou T X, Canu S, Vera P, et al. Latent Correlation Representation Learning for Brain Tumor Segmentation With Missing MRI Modalities[J]. IEEE Transactions on Image Processing, 2021, 30: 4263-4274.</w:t>
            </w:r>
          </w:p>
          <w:p>
            <w:pPr>
              <w:wordWrap w:val="0"/>
              <w:spacing w:line="312" w:lineRule="auto"/>
              <w:ind w:left="420" w:hanging="420"/>
              <w:rPr>
                <w:sz w:val="24"/>
              </w:rPr>
            </w:pPr>
            <w:r>
              <w:rPr>
                <w:sz w:val="24"/>
              </w:rPr>
              <w:t>[72]</w:t>
            </w:r>
            <w:r>
              <w:rPr>
                <w:sz w:val="24"/>
              </w:rPr>
              <w:tab/>
            </w:r>
            <w:r>
              <w:rPr>
                <w:sz w:val="24"/>
              </w:rPr>
              <w:t>Decuyper M, Bonte S, Deblaere K, et al. Automated MRI based pipeline for segmentation and prediction of grade, IDH mutation and 1p19q co-deletion in glioma[J]. Computerized Medical Imaging and Graphics, 2021, 88.</w:t>
            </w:r>
          </w:p>
          <w:p>
            <w:pPr>
              <w:wordWrap w:val="0"/>
              <w:spacing w:line="312" w:lineRule="auto"/>
              <w:ind w:left="420" w:hanging="420"/>
              <w:rPr>
                <w:sz w:val="24"/>
              </w:rPr>
            </w:pPr>
            <w:r>
              <w:rPr>
                <w:sz w:val="24"/>
              </w:rPr>
              <w:t>[73]</w:t>
            </w:r>
            <w:r>
              <w:rPr>
                <w:sz w:val="24"/>
              </w:rPr>
              <w:tab/>
            </w:r>
            <w:r>
              <w:rPr>
                <w:sz w:val="24"/>
              </w:rPr>
              <w:t>Naser M A, Deen M J. Brain tumor segmentation and grading of lower-grade glioma using deep learning in MRI images[J]. Computers in Biology and Medicine, 2020, 121.</w:t>
            </w:r>
          </w:p>
          <w:p>
            <w:pPr>
              <w:wordWrap w:val="0"/>
              <w:spacing w:line="312" w:lineRule="auto"/>
              <w:ind w:left="420" w:hanging="420"/>
              <w:rPr>
                <w:sz w:val="24"/>
              </w:rPr>
            </w:pPr>
            <w:r>
              <w:rPr>
                <w:sz w:val="24"/>
              </w:rPr>
              <w:t>[74]</w:t>
            </w:r>
            <w:r>
              <w:rPr>
                <w:sz w:val="24"/>
              </w:rPr>
              <w:tab/>
            </w:r>
            <w:r>
              <w:rPr>
                <w:sz w:val="24"/>
              </w:rPr>
              <w:t>Luo H G, Zhuang Q Y, Wang Y Y, et al. A novel image signature-based radiomics method to achieve precise diagnosis and prognostic stratification of gliomas[J]. Laboratory Investigation, 2021, 101(4): 450-462.</w:t>
            </w:r>
          </w:p>
          <w:p>
            <w:pPr>
              <w:wordWrap w:val="0"/>
              <w:spacing w:line="312" w:lineRule="auto"/>
              <w:ind w:left="420" w:hanging="420"/>
              <w:rPr>
                <w:sz w:val="24"/>
              </w:rPr>
            </w:pPr>
            <w:r>
              <w:rPr>
                <w:sz w:val="24"/>
              </w:rPr>
              <w:t>[75]</w:t>
            </w:r>
            <w:r>
              <w:rPr>
                <w:sz w:val="24"/>
              </w:rPr>
              <w:tab/>
            </w:r>
            <w:r>
              <w:rPr>
                <w:sz w:val="24"/>
              </w:rPr>
              <w:t>Wang Y, Wang Y, Guo C J, et al. SGPNet: A Three-Dimensional Multitask Residual Framework for Segmentation and IDH Genotype Prediction of Gliomas[J]. Computational Intelligence and Neuroscience, 2021, 2021.</w:t>
            </w:r>
          </w:p>
          <w:p>
            <w:pPr>
              <w:wordWrap w:val="0"/>
              <w:spacing w:line="312" w:lineRule="auto"/>
              <w:ind w:left="420" w:hanging="420"/>
              <w:rPr>
                <w:sz w:val="24"/>
              </w:rPr>
            </w:pPr>
            <w:r>
              <w:rPr>
                <w:sz w:val="24"/>
              </w:rPr>
              <w:t>[76]</w:t>
            </w:r>
            <w:r>
              <w:rPr>
                <w:sz w:val="24"/>
              </w:rPr>
              <w:tab/>
            </w:r>
            <w:r>
              <w:rPr>
                <w:sz w:val="24"/>
              </w:rPr>
              <w:t>Zhou Y, Chen H J, Li Y F, et al. Multi-task learning for segmentation and classification of tumors in 3D automated breast ultrasound images(star)[J]. Medical Image Analysis, 2021, 70.</w:t>
            </w:r>
          </w:p>
          <w:p>
            <w:pPr>
              <w:wordWrap w:val="0"/>
              <w:spacing w:line="312" w:lineRule="auto"/>
              <w:ind w:left="420" w:hanging="420"/>
              <w:rPr>
                <w:sz w:val="24"/>
              </w:rPr>
            </w:pPr>
            <w:r>
              <w:rPr>
                <w:sz w:val="24"/>
              </w:rPr>
              <w:t>[77]</w:t>
            </w:r>
            <w:r>
              <w:rPr>
                <w:sz w:val="24"/>
              </w:rPr>
              <w:tab/>
            </w:r>
            <w:r>
              <w:rPr>
                <w:sz w:val="24"/>
              </w:rPr>
              <w:t>Cheng J H, Liu J, Kuang H L, et al. A Fully Automated Multimodal MRI-Based Multi-Task Learning for Glioma Segmentation and IDH Genotyping[J]. IEEE Transactions on Medical Imaging, 2022, 41(6): 1520-1532.</w:t>
            </w:r>
          </w:p>
          <w:p>
            <w:pPr>
              <w:pStyle w:val="18"/>
              <w:spacing w:line="312" w:lineRule="auto"/>
              <w:rPr>
                <w:sz w:val="24"/>
              </w:rPr>
            </w:pPr>
            <w:r>
              <w:rPr>
                <w:sz w:val="24"/>
              </w:rPr>
              <w:fldChar w:fldCharType="end"/>
            </w:r>
          </w:p>
        </w:tc>
      </w:tr>
    </w:tbl>
    <w:p>
      <w:pPr>
        <w:rPr>
          <w:rFonts w:ascii="宋体" w:hAnsi="宋体"/>
          <w:b/>
          <w:sz w:val="30"/>
        </w:rPr>
      </w:pPr>
      <w:r>
        <w:rPr>
          <w:rFonts w:eastAsia="黑体"/>
          <w:sz w:val="30"/>
        </w:rPr>
        <w:br w:type="page"/>
      </w:r>
      <w:r>
        <w:rPr>
          <w:rFonts w:hint="eastAsia" w:ascii="宋体" w:hAnsi="宋体"/>
          <w:b/>
          <w:sz w:val="30"/>
        </w:rPr>
        <w:t>三、研究内容和方法</w:t>
      </w:r>
    </w:p>
    <w:tbl>
      <w:tblPr>
        <w:tblStyle w:val="8"/>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11" w:hRule="atLeast"/>
        </w:trPr>
        <w:tc>
          <w:tcPr>
            <w:tcW w:w="9072" w:type="dxa"/>
          </w:tcPr>
          <w:p>
            <w:pPr>
              <w:rPr>
                <w:b/>
                <w:szCs w:val="21"/>
              </w:rPr>
            </w:pPr>
            <w:r>
              <w:rPr>
                <w:rFonts w:hint="eastAsia"/>
                <w:b/>
                <w:szCs w:val="21"/>
              </w:rPr>
              <w:t>包括：1.研究的基本内容；2.拟采取的技术路线、研究手段、研究方法；3.预期研究的成果。</w:t>
            </w:r>
          </w:p>
          <w:p>
            <w:pPr>
              <w:spacing w:line="312" w:lineRule="auto"/>
              <w:rPr>
                <w:b/>
                <w:sz w:val="24"/>
              </w:rPr>
            </w:pPr>
            <w:r>
              <w:rPr>
                <w:b/>
                <w:sz w:val="24"/>
              </w:rPr>
              <w:t>1研究的基本内容；</w:t>
            </w:r>
          </w:p>
          <w:p>
            <w:pPr>
              <w:spacing w:line="312" w:lineRule="auto"/>
              <w:ind w:firstLine="480" w:firstLineChars="200"/>
              <w:rPr>
                <w:color w:val="000000"/>
                <w:sz w:val="24"/>
              </w:rPr>
            </w:pPr>
            <w:r>
              <w:rPr>
                <w:color w:val="000000"/>
                <w:sz w:val="24"/>
              </w:rPr>
              <w:t>本课题旨在</w:t>
            </w:r>
            <w:r>
              <w:rPr>
                <w:rFonts w:hint="default"/>
                <w:color w:val="000000"/>
                <w:sz w:val="24"/>
              </w:rPr>
              <w:t>边缘算力网络拥塞控制检测算法的研究</w:t>
            </w:r>
            <w:r>
              <w:rPr>
                <w:rFonts w:hint="eastAsia"/>
                <w:color w:val="000000"/>
                <w:sz w:val="24"/>
                <w:lang w:eastAsia="zh-CN"/>
              </w:rPr>
              <w:t>，</w:t>
            </w:r>
            <w:r>
              <w:rPr>
                <w:color w:val="000000"/>
                <w:sz w:val="24"/>
              </w:rPr>
              <w:t>本课题的主要研究内容拟解决3个三个关键问题：（1）</w:t>
            </w:r>
            <w:r>
              <w:rPr>
                <w:rFonts w:hint="eastAsia"/>
                <w:color w:val="000000"/>
                <w:sz w:val="24"/>
                <w:lang w:val="en-US" w:eastAsia="zh-CN"/>
              </w:rPr>
              <w:t>在边缘算力网络中对拥塞检测更高实时性的要求</w:t>
            </w:r>
            <w:r>
              <w:rPr>
                <w:color w:val="000000"/>
                <w:sz w:val="24"/>
              </w:rPr>
              <w:t>；（2）</w:t>
            </w:r>
            <w:r>
              <w:rPr>
                <w:rFonts w:hint="eastAsia"/>
                <w:color w:val="000000"/>
                <w:sz w:val="24"/>
                <w:lang w:val="en-US" w:eastAsia="zh-CN"/>
              </w:rPr>
              <w:t>对于边缘算力网络中边缘网关会接收到多样化数据源不能准确识别网络拥塞迹象的问题；</w:t>
            </w:r>
            <w:r>
              <w:rPr>
                <w:color w:val="000000"/>
                <w:sz w:val="24"/>
              </w:rPr>
              <w:t>（3）</w:t>
            </w:r>
            <w:r>
              <w:rPr>
                <w:rFonts w:hint="eastAsia"/>
                <w:color w:val="000000"/>
                <w:sz w:val="24"/>
                <w:lang w:val="en-US" w:eastAsia="zh-CN"/>
              </w:rPr>
              <w:t>无损网络在边缘算力网络中的网络拥塞检测问题</w:t>
            </w:r>
            <w:r>
              <w:rPr>
                <w:color w:val="000000"/>
                <w:sz w:val="24"/>
              </w:rPr>
              <w:t>。</w:t>
            </w:r>
          </w:p>
          <w:p>
            <w:pPr>
              <w:spacing w:line="312" w:lineRule="auto"/>
              <w:rPr>
                <w:b/>
                <w:sz w:val="24"/>
              </w:rPr>
            </w:pPr>
            <w:r>
              <w:rPr>
                <w:rFonts w:hint="eastAsia"/>
                <w:b/>
                <w:sz w:val="24"/>
              </w:rPr>
              <w:t>2拟采取的技术路线、研究手段、研究方法；</w:t>
            </w:r>
          </w:p>
          <w:p>
            <w:pPr>
              <w:spacing w:line="312" w:lineRule="auto"/>
              <w:ind w:firstLine="480" w:firstLineChars="200"/>
              <w:rPr>
                <w:bCs/>
                <w:sz w:val="24"/>
              </w:rPr>
            </w:pPr>
            <w:r>
              <w:rPr>
                <w:rFonts w:hint="eastAsia"/>
                <w:bCs/>
                <w:sz w:val="24"/>
              </w:rPr>
              <w:t>如图</w:t>
            </w:r>
            <w:r>
              <w:rPr>
                <w:bCs/>
                <w:sz w:val="24"/>
              </w:rPr>
              <w:t>2</w:t>
            </w:r>
            <w:r>
              <w:rPr>
                <w:rFonts w:hint="eastAsia"/>
                <w:bCs/>
                <w:sz w:val="24"/>
              </w:rPr>
              <w:t>为本课题的总技术路线：</w:t>
            </w:r>
          </w:p>
          <w:p>
            <w:pPr>
              <w:spacing w:line="312" w:lineRule="auto"/>
              <w:jc w:val="center"/>
            </w:pPr>
            <w:r>
              <w:drawing>
                <wp:inline distT="0" distB="0" distL="0" distR="0">
                  <wp:extent cx="3983355" cy="19354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014003" cy="1950345"/>
                          </a:xfrm>
                          <a:prstGeom prst="rect">
                            <a:avLst/>
                          </a:prstGeom>
                        </pic:spPr>
                      </pic:pic>
                    </a:graphicData>
                  </a:graphic>
                </wp:inline>
              </w:drawing>
            </w:r>
          </w:p>
          <w:p>
            <w:pPr>
              <w:spacing w:line="312" w:lineRule="auto"/>
              <w:rPr>
                <w:b/>
                <w:bCs/>
                <w:sz w:val="24"/>
              </w:rPr>
            </w:pPr>
            <w:r>
              <w:rPr>
                <w:rFonts w:hint="eastAsia"/>
                <w:b/>
                <w:bCs/>
                <w:sz w:val="24"/>
              </w:rPr>
              <w:t>2</w:t>
            </w:r>
            <w:r>
              <w:rPr>
                <w:b/>
                <w:bCs/>
                <w:sz w:val="24"/>
              </w:rPr>
              <w:t>.</w:t>
            </w:r>
            <w:r>
              <w:rPr>
                <w:rFonts w:hint="eastAsia"/>
                <w:b/>
                <w:bCs/>
                <w:sz w:val="24"/>
              </w:rPr>
              <w:t>算法研究</w:t>
            </w:r>
          </w:p>
          <w:p>
            <w:pPr>
              <w:spacing w:line="312" w:lineRule="auto"/>
              <w:ind w:firstLine="480" w:firstLineChars="200"/>
              <w:rPr>
                <w:color w:val="000000"/>
                <w:sz w:val="24"/>
              </w:rPr>
            </w:pPr>
            <w:r>
              <w:rPr>
                <w:rFonts w:hint="eastAsia"/>
                <w:color w:val="000000"/>
                <w:sz w:val="24"/>
              </w:rPr>
              <w:t>1）</w:t>
            </w:r>
            <w:r>
              <w:rPr>
                <w:rFonts w:hint="eastAsia"/>
                <w:sz w:val="24"/>
                <w:lang w:val="en-US" w:eastAsia="zh-CN"/>
              </w:rPr>
              <w:t>基于不同流量类型下的拥塞检测算法</w:t>
            </w:r>
            <w:r>
              <w:rPr>
                <w:rFonts w:hint="eastAsia"/>
                <w:color w:val="000000"/>
                <w:sz w:val="24"/>
              </w:rPr>
              <w:t>网络整体结构</w:t>
            </w:r>
          </w:p>
          <w:p>
            <w:pPr>
              <w:spacing w:line="312" w:lineRule="auto"/>
              <w:ind w:firstLine="480" w:firstLineChars="200"/>
              <w:rPr>
                <w:rFonts w:hint="default" w:eastAsia="宋体"/>
                <w:sz w:val="24"/>
                <w:lang w:val="en-US" w:eastAsia="zh-CN"/>
              </w:rPr>
            </w:pPr>
            <w:r>
              <w:rPr>
                <w:rFonts w:hint="eastAsia"/>
                <w:sz w:val="24"/>
              </w:rPr>
              <w:t>针对目前</w:t>
            </w:r>
            <w:r>
              <w:rPr>
                <w:rFonts w:hint="eastAsia"/>
                <w:sz w:val="24"/>
                <w:lang w:val="en-US" w:eastAsia="zh-CN"/>
              </w:rPr>
              <w:t>边缘算力网络中网络拥塞，以及不同流量时延需求的</w:t>
            </w:r>
            <w:r>
              <w:rPr>
                <w:rFonts w:hint="eastAsia"/>
                <w:sz w:val="24"/>
              </w:rPr>
              <w:t>问题，本课题提</w:t>
            </w:r>
            <w:r>
              <w:rPr>
                <w:rFonts w:hint="eastAsia"/>
                <w:sz w:val="24"/>
                <w:lang w:val="en-US" w:eastAsia="zh-CN"/>
              </w:rPr>
              <w:t>出了基于不同流量类型下的拥塞检测算法</w:t>
            </w:r>
            <w:r>
              <w:rPr>
                <w:rFonts w:hint="eastAsia"/>
                <w:sz w:val="24"/>
              </w:rPr>
              <w:t>，</w:t>
            </w:r>
            <w:r>
              <w:rPr>
                <w:rFonts w:hint="eastAsia"/>
                <w:sz w:val="24"/>
                <w:lang w:val="en-US" w:eastAsia="zh-CN"/>
              </w:rPr>
              <w:t>并将在NS2仿真软件中仿真模拟</w:t>
            </w:r>
            <w:r>
              <w:rPr>
                <w:rFonts w:hint="eastAsia"/>
                <w:sz w:val="24"/>
              </w:rPr>
              <w:t>。图3显示</w:t>
            </w:r>
            <w:r>
              <w:rPr>
                <w:rFonts w:hint="eastAsia"/>
                <w:sz w:val="24"/>
                <w:lang w:val="en-US" w:eastAsia="zh-CN"/>
              </w:rPr>
              <w:t>了基于不同流量类型下的算法</w:t>
            </w:r>
            <w:r>
              <w:rPr>
                <w:rFonts w:hint="eastAsia"/>
                <w:sz w:val="24"/>
              </w:rPr>
              <w:t>结构，所提出的</w:t>
            </w:r>
            <w:r>
              <w:rPr>
                <w:rFonts w:hint="eastAsia"/>
                <w:sz w:val="24"/>
                <w:lang w:val="en-US" w:eastAsia="zh-CN"/>
              </w:rPr>
              <w:t>算法结构中包含了不同流量时延需求，以及通过平均队列尺寸变化率对网络的拥塞检测</w:t>
            </w:r>
            <w:r>
              <w:rPr>
                <w:rFonts w:hint="eastAsia"/>
                <w:sz w:val="24"/>
              </w:rPr>
              <w:t>。</w:t>
            </w:r>
          </w:p>
          <w:p>
            <w:pPr>
              <w:spacing w:line="312" w:lineRule="auto"/>
              <w:ind w:firstLine="480" w:firstLineChars="200"/>
              <w:rPr>
                <w:rFonts w:hint="eastAsia"/>
                <w:sz w:val="24"/>
                <w:lang w:val="en-US" w:eastAsia="zh-CN"/>
              </w:rPr>
            </w:pPr>
            <w:r>
              <w:rPr>
                <w:rFonts w:hint="eastAsia"/>
                <w:sz w:val="24"/>
                <w:lang w:val="en-US" w:eastAsia="zh-CN"/>
              </w:rPr>
              <w:t>在边缘算力网络中，边缘网关会接受到各种各样的流量数据，例如，温度、湿度、光照等传感器数据；4k摄像头的视频流数据，以及各种雷达数据等等。而这些数据的RTT时间是不同的，</w:t>
            </w:r>
            <w:r>
              <w:rPr>
                <w:rFonts w:hint="eastAsia"/>
                <w:sz w:val="24"/>
              </w:rPr>
              <w:t>为了能够</w:t>
            </w:r>
            <w:r>
              <w:rPr>
                <w:rFonts w:hint="eastAsia"/>
                <w:sz w:val="24"/>
                <w:lang w:val="en-US" w:eastAsia="zh-CN"/>
              </w:rPr>
              <w:t>应对不同流量类型不同的时延需求，我们将对不同流量类型在传输至边缘网关时的存储缓存队列进行重新排列，不再遵循先入先出的原则，使得需要低时延的流量尽可能的排列在缓存区队列的前方，而对时延要求不高的流量排列在缓冲区队列的后方。</w:t>
            </w:r>
          </w:p>
          <w:p>
            <w:pPr>
              <w:spacing w:line="312" w:lineRule="auto"/>
              <w:ind w:firstLine="480" w:firstLineChars="200"/>
              <w:rPr>
                <w:rFonts w:hint="eastAsia"/>
                <w:color w:val="000000"/>
                <w:sz w:val="24"/>
              </w:rPr>
            </w:pPr>
            <w:r>
              <w:rPr>
                <w:rFonts w:hint="eastAsia"/>
                <w:sz w:val="24"/>
                <w:lang w:val="en-US" w:eastAsia="zh-CN"/>
              </w:rPr>
              <w:t>在边缘算力网络中，面对网络即将发生的网络拥塞情况，要尽可能的提前采取措施，同样这也要求了尽可能早的检测出网络拥塞迹象，在网络拥塞检测中我们采用了基于平均队列尺寸变换率的方法，根据平均队列尺寸的变换率来对到来的数据包进行丢包处理。</w:t>
            </w:r>
          </w:p>
          <w:p>
            <w:pPr>
              <w:numPr>
                <w:ilvl w:val="0"/>
                <w:numId w:val="2"/>
              </w:numPr>
              <w:spacing w:line="312" w:lineRule="auto"/>
              <w:ind w:firstLine="480" w:firstLineChars="200"/>
              <w:rPr>
                <w:rFonts w:hint="eastAsia"/>
                <w:sz w:val="24"/>
                <w:lang w:val="en-US" w:eastAsia="zh-CN"/>
              </w:rPr>
            </w:pPr>
            <w:r>
              <w:rPr>
                <w:rFonts w:hint="eastAsia"/>
                <w:color w:val="000000"/>
                <w:sz w:val="24"/>
                <w:lang w:val="en-US" w:eastAsia="zh-CN"/>
              </w:rPr>
              <w:t>不同流量</w:t>
            </w:r>
            <w:r>
              <w:rPr>
                <w:rFonts w:hint="eastAsia"/>
                <w:sz w:val="24"/>
                <w:lang w:val="en-US" w:eastAsia="zh-CN"/>
              </w:rPr>
              <w:t>时延需求模块</w:t>
            </w:r>
          </w:p>
          <w:p>
            <w:pPr>
              <w:numPr>
                <w:ilvl w:val="0"/>
                <w:numId w:val="0"/>
              </w:numPr>
              <w:spacing w:line="312" w:lineRule="auto"/>
              <w:ind w:firstLine="480" w:firstLineChars="200"/>
              <w:rPr>
                <w:rFonts w:hint="eastAsia"/>
                <w:sz w:val="24"/>
                <w:lang w:val="en-US" w:eastAsia="zh-CN"/>
              </w:rPr>
            </w:pPr>
            <w:r>
              <w:rPr>
                <w:rFonts w:hint="eastAsia"/>
                <w:sz w:val="24"/>
                <w:lang w:val="en-US" w:eastAsia="zh-CN"/>
              </w:rPr>
              <w:t>在边缘算力网络中，不同的数据流对于数据传输时的延迟要求可能有所不同。这种延迟需求可以是由应用层人为设置的，也可以是根据实际网络状况和数据流量自适应调整的。这个延迟需求指的是数据包在路由器中存在的最长时间，即数据包从发送到接收的时间间隔。</w:t>
            </w:r>
          </w:p>
          <w:p>
            <w:pPr>
              <w:numPr>
                <w:ilvl w:val="0"/>
                <w:numId w:val="0"/>
              </w:numPr>
              <w:spacing w:line="312" w:lineRule="auto"/>
              <w:ind w:firstLine="480" w:firstLineChars="200"/>
              <w:rPr>
                <w:rFonts w:hint="eastAsia"/>
                <w:sz w:val="24"/>
                <w:lang w:val="en-US" w:eastAsia="zh-CN"/>
              </w:rPr>
            </w:pPr>
            <w:r>
              <w:rPr>
                <w:rFonts w:hint="eastAsia"/>
                <w:sz w:val="24"/>
                <w:lang w:val="en-US" w:eastAsia="zh-CN"/>
              </w:rPr>
              <w:t>为了满足这种需求，每个数据流在确定了自身数据包的延迟需求后，将这个需求信息嵌入到数据包中的固定位置，通常是IP层的选项字段中。这个操作可以通过用户态和内核态的交互完成。一旦时延需求被正确写入数据包，它就会被路由器内核识别、提取和计算，以便进行后续的队列操作。</w:t>
            </w:r>
          </w:p>
          <w:p>
            <w:pPr>
              <w:numPr>
                <w:ilvl w:val="0"/>
                <w:numId w:val="0"/>
              </w:numPr>
              <w:spacing w:line="312" w:lineRule="auto"/>
              <w:ind w:firstLine="480" w:firstLineChars="200"/>
              <w:rPr>
                <w:rFonts w:hint="eastAsia"/>
                <w:sz w:val="24"/>
                <w:lang w:val="en-US" w:eastAsia="zh-CN"/>
              </w:rPr>
            </w:pPr>
            <w:r>
              <w:rPr>
                <w:rFonts w:hint="eastAsia"/>
                <w:sz w:val="24"/>
                <w:lang w:val="en-US" w:eastAsia="zh-CN"/>
              </w:rPr>
              <w:t>时延需求实际上描述了数据包的紧急程度，它确保了数据包被正确地入队，满足了网络服务质量（QoS）的要求。通过这种方式，网络可以根据不同数据流的需求将数据包合理地排队，从而提供更好的性能和用户体验。</w:t>
            </w:r>
          </w:p>
          <w:p>
            <w:pPr>
              <w:numPr>
                <w:ilvl w:val="0"/>
                <w:numId w:val="0"/>
              </w:numPr>
              <w:spacing w:line="312" w:lineRule="auto"/>
              <w:ind w:firstLine="480" w:firstLineChars="200"/>
              <w:rPr>
                <w:rFonts w:hint="eastAsia"/>
                <w:sz w:val="24"/>
                <w:lang w:val="en-US" w:eastAsia="zh-CN"/>
              </w:rPr>
            </w:pPr>
          </w:p>
          <w:p>
            <w:pPr>
              <w:numPr>
                <w:ilvl w:val="0"/>
                <w:numId w:val="3"/>
              </w:numPr>
              <w:spacing w:line="312" w:lineRule="auto"/>
              <w:ind w:firstLine="480" w:firstLineChars="200"/>
              <w:rPr>
                <w:rFonts w:hint="eastAsia"/>
                <w:sz w:val="24"/>
                <w:lang w:val="en-US" w:eastAsia="zh-CN"/>
              </w:rPr>
            </w:pPr>
            <w:r>
              <w:rPr>
                <w:rFonts w:hint="eastAsia"/>
                <w:sz w:val="24"/>
                <w:lang w:val="en-US" w:eastAsia="zh-CN"/>
              </w:rPr>
              <w:t>基于平均队列尺寸变化率模块</w:t>
            </w:r>
          </w:p>
          <w:p>
            <w:pPr>
              <w:numPr>
                <w:ilvl w:val="0"/>
                <w:numId w:val="0"/>
              </w:numPr>
              <w:spacing w:line="312" w:lineRule="auto"/>
              <w:ind w:firstLine="480"/>
              <w:rPr>
                <w:rFonts w:hint="eastAsia"/>
                <w:sz w:val="24"/>
                <w:lang w:val="en-US" w:eastAsia="zh-CN"/>
              </w:rPr>
            </w:pPr>
            <w:r>
              <w:rPr>
                <w:rFonts w:hint="eastAsia"/>
                <w:sz w:val="24"/>
                <w:lang w:val="en-US" w:eastAsia="zh-CN"/>
              </w:rPr>
              <w:t>在边缘算力网络中，我们需要在网络拥塞即将到来时采取相关措施，传统的RED算法，通过计算平均队列的尺寸来描述网络拥塞的程度，从而进行丢包选择，AQMRD将计算其平均队列尺寸变换率，即：</w:t>
            </w:r>
          </w:p>
          <w:p>
            <w:pPr>
              <w:numPr>
                <w:ilvl w:val="0"/>
                <w:numId w:val="0"/>
              </w:numPr>
              <w:spacing w:line="312" w:lineRule="auto"/>
              <w:ind w:firstLine="480"/>
              <w:rPr>
                <w:rFonts w:hint="default"/>
                <w:sz w:val="24"/>
                <w:lang w:val="en-US" w:eastAsia="zh-CN"/>
              </w:rPr>
            </w:pPr>
            <w:r>
              <w:rPr>
                <w:rFonts w:hint="default"/>
                <w:position w:val="-14"/>
                <w:sz w:val="24"/>
                <w:lang w:val="en-US" w:eastAsia="zh-CN"/>
              </w:rPr>
              <w:object>
                <v:shape id="_x0000_i1026" o:spt="75" type="#_x0000_t75" style="height:19pt;width:247pt;" o:ole="t" filled="f" o:preferrelative="t" stroked="f" coordsize="21600,21600">
                  <v:path/>
                  <v:fill on="f" focussize="0,0"/>
                  <v:stroke on="f"/>
                  <v:imagedata r:id="rId16" o:title=""/>
                  <o:lock v:ext="edit" aspectratio="t"/>
                  <w10:wrap type="none"/>
                  <w10:anchorlock/>
                </v:shape>
                <o:OLEObject Type="Embed" ProgID="Equation.KSEE3" ShapeID="_x0000_i1026" DrawAspect="Content" ObjectID="_1468075726" r:id="rId15">
                  <o:LockedField>false</o:LockedField>
                </o:OLEObject>
              </w:object>
            </w:r>
          </w:p>
          <w:p>
            <w:pPr>
              <w:widowControl w:val="0"/>
              <w:numPr>
                <w:ilvl w:val="0"/>
                <w:numId w:val="0"/>
              </w:numPr>
              <w:spacing w:line="312" w:lineRule="auto"/>
              <w:jc w:val="both"/>
              <w:rPr>
                <w:rFonts w:hint="default"/>
                <w:sz w:val="24"/>
                <w:lang w:val="en-US" w:eastAsia="zh-CN"/>
              </w:rPr>
            </w:pPr>
            <w:r>
              <w:rPr>
                <w:rFonts w:hint="eastAsia"/>
                <w:sz w:val="24"/>
                <w:lang w:val="en-US" w:eastAsia="zh-CN"/>
              </w:rPr>
              <w:t>其中</w:t>
            </w:r>
            <w:r>
              <w:rPr>
                <w:rFonts w:hint="eastAsia"/>
                <w:position w:val="-10"/>
                <w:sz w:val="24"/>
                <w:lang w:val="en-US" w:eastAsia="zh-CN"/>
              </w:rPr>
              <w:object>
                <v:shape id="_x0000_i1027" o:spt="75" type="#_x0000_t75" style="height:16pt;width:53pt;" o:ole="t" filled="f" o:preferrelative="t" stroked="f" coordsize="21600,21600">
                  <v:path/>
                  <v:fill on="f" focussize="0,0"/>
                  <v:stroke on="f"/>
                  <v:imagedata r:id="rId18" o:title=""/>
                  <o:lock v:ext="edit" aspectratio="t"/>
                  <w10:wrap type="none"/>
                  <w10:anchorlock/>
                </v:shape>
                <o:OLEObject Type="Embed" ProgID="Equation.KSEE3" ShapeID="_x0000_i1027" DrawAspect="Content" ObjectID="_1468075727" r:id="rId17">
                  <o:LockedField>false</o:LockedField>
                </o:OLEObject>
              </w:object>
            </w:r>
            <w:r>
              <w:rPr>
                <w:rFonts w:hint="eastAsia"/>
                <w:sz w:val="24"/>
                <w:lang w:val="en-US" w:eastAsia="zh-CN"/>
              </w:rPr>
              <w:t>和</w:t>
            </w:r>
            <w:r>
              <w:rPr>
                <w:rFonts w:hint="eastAsia"/>
                <w:position w:val="-10"/>
                <w:sz w:val="24"/>
                <w:lang w:val="en-US" w:eastAsia="zh-CN"/>
              </w:rPr>
              <w:object>
                <v:shape id="_x0000_i1028" o:spt="75" type="#_x0000_t75" style="height:16pt;width:39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rFonts w:hint="eastAsia"/>
                <w:sz w:val="24"/>
                <w:lang w:val="en-US" w:eastAsia="zh-CN"/>
              </w:rPr>
              <w:t>分别是当前时刻和上一时刻的平均队列长度，</w:t>
            </w:r>
            <w:r>
              <w:rPr>
                <w:rFonts w:hint="eastAsia"/>
                <w:position w:val="-10"/>
                <w:sz w:val="24"/>
                <w:lang w:val="en-US" w:eastAsia="zh-CN"/>
              </w:rPr>
              <w:object>
                <v:shape id="_x0000_i1029" o:spt="75" type="#_x0000_t75" style="height:16pt;width:37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r>
              <w:rPr>
                <w:rFonts w:hint="eastAsia"/>
                <w:sz w:val="24"/>
                <w:lang w:val="en-US" w:eastAsia="zh-CN"/>
              </w:rPr>
              <w:t>与</w:t>
            </w:r>
            <w:r>
              <w:rPr>
                <w:rFonts w:hint="eastAsia"/>
                <w:position w:val="-10"/>
                <w:sz w:val="24"/>
                <w:lang w:val="en-US" w:eastAsia="zh-CN"/>
              </w:rPr>
              <w:object>
                <v:shape id="_x0000_i1030" o:spt="75" type="#_x0000_t75" style="height:16pt;width:22pt;" o:ole="t" filled="f" o:preferrelative="t" stroked="f" coordsize="21600,21600">
                  <v:path/>
                  <v:fill on="f" focussize="0,0"/>
                  <v:stroke on="f"/>
                  <v:imagedata r:id="rId24" o:title=""/>
                  <o:lock v:ext="edit" aspectratio="t"/>
                  <w10:wrap type="none"/>
                  <w10:anchorlock/>
                </v:shape>
                <o:OLEObject Type="Embed" ProgID="Equation.KSEE3" ShapeID="_x0000_i1030" DrawAspect="Content" ObjectID="_1468075730" r:id="rId23">
                  <o:LockedField>false</o:LockedField>
                </o:OLEObject>
              </w:object>
            </w:r>
            <w:r>
              <w:rPr>
                <w:rFonts w:hint="eastAsia"/>
                <w:sz w:val="24"/>
                <w:lang w:val="en-US" w:eastAsia="zh-CN"/>
              </w:rPr>
              <w:t>为当前时刻和上一时刻的瞬时队列长度，</w:t>
            </w:r>
            <w:r>
              <w:rPr>
                <w:rFonts w:hint="eastAsia"/>
                <w:position w:val="-14"/>
                <w:sz w:val="24"/>
                <w:lang w:val="en-US" w:eastAsia="zh-CN"/>
              </w:rPr>
              <w:object>
                <v:shape id="_x0000_i1031" o:spt="75" type="#_x0000_t75" style="height:19pt;width:16pt;" o:ole="t" filled="f" o:preferrelative="t" stroked="f" coordsize="21600,21600">
                  <v:path/>
                  <v:fill on="f" focussize="0,0"/>
                  <v:stroke on="f"/>
                  <v:imagedata r:id="rId26" o:title=""/>
                  <o:lock v:ext="edit" aspectratio="t"/>
                  <w10:wrap type="none"/>
                  <w10:anchorlock/>
                </v:shape>
                <o:OLEObject Type="Embed" ProgID="Equation.KSEE3" ShapeID="_x0000_i1031" DrawAspect="Content" ObjectID="_1468075731" r:id="rId25">
                  <o:LockedField>false</o:LockedField>
                </o:OLEObject>
              </w:object>
            </w:r>
            <w:r>
              <w:rPr>
                <w:rFonts w:hint="eastAsia"/>
                <w:sz w:val="24"/>
                <w:lang w:val="en-US" w:eastAsia="zh-CN"/>
              </w:rPr>
              <w:t>则是为了减小大规模流量的影响所设置的权值参数。在这里</w:t>
            </w:r>
            <w:r>
              <w:rPr>
                <w:rFonts w:hint="eastAsia"/>
                <w:position w:val="-6"/>
                <w:sz w:val="24"/>
                <w:lang w:val="en-US" w:eastAsia="zh-CN"/>
              </w:rPr>
              <w:object>
                <v:shape id="_x0000_i1032" o:spt="75" type="#_x0000_t75" style="height:13.95pt;width:26pt;" o:ole="t" filled="f" o:preferrelative="t" stroked="f" coordsize="21600,21600">
                  <v:path/>
                  <v:fill on="f" focussize="0,0"/>
                  <v:stroke on="f"/>
                  <v:imagedata r:id="rId28" o:title=""/>
                  <o:lock v:ext="edit" aspectratio="t"/>
                  <w10:wrap type="none"/>
                  <w10:anchorlock/>
                </v:shape>
                <o:OLEObject Type="Embed" ProgID="Equation.KSEE3" ShapeID="_x0000_i1032" DrawAspect="Content" ObjectID="_1468075732" r:id="rId27">
                  <o:LockedField>false</o:LockedField>
                </o:OLEObject>
              </w:object>
            </w:r>
            <w:r>
              <w:rPr>
                <w:rFonts w:hint="eastAsia"/>
                <w:sz w:val="24"/>
                <w:lang w:val="en-US" w:eastAsia="zh-CN"/>
              </w:rPr>
              <w:t>用以反映网络流量的变化情况。</w:t>
            </w:r>
          </w:p>
          <w:p>
            <w:pPr>
              <w:widowControl w:val="0"/>
              <w:numPr>
                <w:ilvl w:val="0"/>
                <w:numId w:val="0"/>
              </w:numPr>
              <w:spacing w:line="312" w:lineRule="auto"/>
              <w:jc w:val="both"/>
              <w:rPr>
                <w:rFonts w:hint="eastAsia"/>
                <w:sz w:val="24"/>
                <w:lang w:val="en-US" w:eastAsia="zh-CN"/>
              </w:rPr>
            </w:pPr>
            <w:r>
              <w:rPr>
                <w:rFonts w:hint="eastAsia"/>
                <w:sz w:val="24"/>
                <w:lang w:val="en-US" w:eastAsia="zh-CN"/>
              </w:rPr>
              <w:t xml:space="preserve">  对于</w:t>
            </w:r>
            <w:r>
              <w:rPr>
                <w:rFonts w:hint="eastAsia"/>
                <w:position w:val="-14"/>
                <w:sz w:val="24"/>
                <w:lang w:val="en-US" w:eastAsia="zh-CN"/>
              </w:rPr>
              <w:object>
                <v:shape id="_x0000_i1033" o:spt="75" type="#_x0000_t75" style="height:19pt;width:16pt;" o:ole="t" filled="f" o:preferrelative="t" stroked="f" coordsize="21600,21600">
                  <v:path/>
                  <v:fill on="f" focussize="0,0"/>
                  <v:stroke on="f"/>
                  <v:imagedata r:id="rId30" o:title=""/>
                  <o:lock v:ext="edit" aspectratio="t"/>
                  <w10:wrap type="none"/>
                  <w10:anchorlock/>
                </v:shape>
                <o:OLEObject Type="Embed" ProgID="Equation.KSEE3" ShapeID="_x0000_i1033" DrawAspect="Content" ObjectID="_1468075733" r:id="rId29">
                  <o:LockedField>false</o:LockedField>
                </o:OLEObject>
              </w:object>
            </w:r>
            <w:r>
              <w:rPr>
                <w:rFonts w:hint="eastAsia"/>
                <w:sz w:val="24"/>
                <w:lang w:val="en-US" w:eastAsia="zh-CN"/>
              </w:rPr>
              <w:t>通常会被设置为0.002，而在边缘算力网络中，则希望</w:t>
            </w:r>
            <w:r>
              <w:rPr>
                <w:rFonts w:hint="eastAsia"/>
                <w:position w:val="-14"/>
                <w:sz w:val="24"/>
                <w:lang w:val="en-US" w:eastAsia="zh-CN"/>
              </w:rPr>
              <w:object>
                <v:shape id="_x0000_i1034" o:spt="75" type="#_x0000_t75" style="height:19pt;width:16pt;" o:ole="t" filled="f" o:preferrelative="t" stroked="f" coordsize="21600,21600">
                  <v:path/>
                  <v:fill on="f" focussize="0,0"/>
                  <v:stroke on="f"/>
                  <v:imagedata r:id="rId30" o:title=""/>
                  <o:lock v:ext="edit" aspectratio="t"/>
                  <w10:wrap type="none"/>
                  <w10:anchorlock/>
                </v:shape>
                <o:OLEObject Type="Embed" ProgID="Equation.KSEE3" ShapeID="_x0000_i1034" DrawAspect="Content" ObjectID="_1468075734" r:id="rId31">
                  <o:LockedField>false</o:LockedField>
                </o:OLEObject>
              </w:object>
            </w:r>
            <w:r>
              <w:rPr>
                <w:rFonts w:hint="eastAsia"/>
                <w:sz w:val="24"/>
                <w:lang w:val="en-US" w:eastAsia="zh-CN"/>
              </w:rPr>
              <w:t>权值参数是一个动态调整的数，即：在计算到的平均队列尺寸较低以及平均队列尺寸变换率的绝对值较低时；在计算到的平均队列尺寸较小以及平均队列尺寸变换率绝对值较大时；在计算到的平均队列尺寸较大以及平均队列尺寸变换率绝对值较小时；在计算到的平均队列尺寸较大以及平均队列尺寸变换率绝对值较大时；这几种情况下</w:t>
            </w:r>
            <w:r>
              <w:rPr>
                <w:rFonts w:hint="eastAsia"/>
                <w:position w:val="-14"/>
                <w:sz w:val="24"/>
                <w:lang w:val="en-US" w:eastAsia="zh-CN"/>
              </w:rPr>
              <w:object>
                <v:shape id="_x0000_i1035" o:spt="75" type="#_x0000_t75" style="height:19pt;width:16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32">
                  <o:LockedField>false</o:LockedField>
                </o:OLEObject>
              </w:object>
            </w:r>
            <w:r>
              <w:rPr>
                <w:rFonts w:hint="eastAsia"/>
                <w:sz w:val="24"/>
                <w:lang w:val="en-US" w:eastAsia="zh-CN"/>
              </w:rPr>
              <w:t>权值将是不同的函数。</w:t>
            </w:r>
          </w:p>
          <w:p>
            <w:pPr>
              <w:widowControl w:val="0"/>
              <w:numPr>
                <w:ilvl w:val="0"/>
                <w:numId w:val="0"/>
              </w:numPr>
              <w:spacing w:line="312" w:lineRule="auto"/>
              <w:jc w:val="both"/>
              <w:rPr>
                <w:rFonts w:hint="eastAsia"/>
                <w:sz w:val="24"/>
                <w:lang w:val="en-US" w:eastAsia="zh-CN"/>
              </w:rPr>
            </w:pPr>
            <w:r>
              <w:rPr>
                <w:rFonts w:hint="eastAsia"/>
                <w:sz w:val="24"/>
                <w:lang w:val="en-US" w:eastAsia="zh-CN"/>
              </w:rPr>
              <w:t xml:space="preserve">  这里将根据平均队列长度变化率更新中间的阈值，再使用中间阈值构建整体的丢包策略。在AQMRD中</w:t>
            </w:r>
            <w:r>
              <w:rPr>
                <w:rFonts w:hint="eastAsia"/>
                <w:position w:val="-12"/>
                <w:sz w:val="24"/>
                <w:lang w:val="en-US" w:eastAsia="zh-CN"/>
              </w:rPr>
              <w:object>
                <v:shape id="_x0000_i1036" o:spt="75" type="#_x0000_t75" style="height:18pt;width:28pt;" o:ole="t" filled="f" o:preferrelative="t" stroked="f" coordsize="21600,21600">
                  <v:path/>
                  <v:fill on="f" focussize="0,0"/>
                  <v:stroke on="f"/>
                  <v:imagedata r:id="rId34" o:title=""/>
                  <o:lock v:ext="edit" aspectratio="t"/>
                  <w10:wrap type="none"/>
                  <w10:anchorlock/>
                </v:shape>
                <o:OLEObject Type="Embed" ProgID="Equation.KSEE3" ShapeID="_x0000_i1036" DrawAspect="Content" ObjectID="_1468075736" r:id="rId33">
                  <o:LockedField>false</o:LockedField>
                </o:OLEObject>
              </w:object>
            </w:r>
            <w:r>
              <w:rPr>
                <w:rFonts w:hint="eastAsia"/>
                <w:sz w:val="24"/>
                <w:lang w:val="en-US" w:eastAsia="zh-CN"/>
              </w:rPr>
              <w:t>的设置方式如下：</w:t>
            </w:r>
          </w:p>
          <w:p>
            <w:pPr>
              <w:widowControl w:val="0"/>
              <w:numPr>
                <w:ilvl w:val="0"/>
                <w:numId w:val="0"/>
              </w:numPr>
              <w:spacing w:line="312" w:lineRule="auto"/>
              <w:jc w:val="both"/>
              <w:rPr>
                <w:rFonts w:hint="eastAsia"/>
                <w:sz w:val="24"/>
                <w:lang w:val="en-US" w:eastAsia="zh-CN"/>
              </w:rPr>
            </w:pPr>
            <w:r>
              <w:rPr>
                <w:rFonts w:hint="eastAsia"/>
                <w:sz w:val="24"/>
                <w:lang w:val="en-US" w:eastAsia="zh-CN"/>
              </w:rPr>
              <w:t xml:space="preserve">    </w:t>
            </w:r>
            <w:r>
              <w:rPr>
                <w:rFonts w:hint="eastAsia"/>
                <w:position w:val="-50"/>
                <w:sz w:val="24"/>
                <w:lang w:val="en-US" w:eastAsia="zh-CN"/>
              </w:rPr>
              <w:object>
                <v:shape id="_x0000_i1037" o:spt="75" type="#_x0000_t75" style="height:56pt;width:163pt;" o:ole="t" filled="f" o:preferrelative="t" stroked="f" coordsize="21600,21600">
                  <v:path/>
                  <v:fill on="f" focussize="0,0"/>
                  <v:stroke on="f"/>
                  <v:imagedata r:id="rId36" o:title=""/>
                  <o:lock v:ext="edit" aspectratio="t"/>
                  <w10:wrap type="none"/>
                  <w10:anchorlock/>
                </v:shape>
                <o:OLEObject Type="Embed" ProgID="Equation.KSEE3" ShapeID="_x0000_i1037" DrawAspect="Content" ObjectID="_1468075737" r:id="rId35">
                  <o:LockedField>false</o:LockedField>
                </o:OLEObject>
              </w:object>
            </w:r>
          </w:p>
          <w:p>
            <w:pPr>
              <w:widowControl w:val="0"/>
              <w:numPr>
                <w:ilvl w:val="0"/>
                <w:numId w:val="0"/>
              </w:numPr>
              <w:spacing w:line="312" w:lineRule="auto"/>
              <w:jc w:val="both"/>
              <w:rPr>
                <w:rFonts w:hint="eastAsia"/>
                <w:sz w:val="24"/>
                <w:lang w:val="en-US" w:eastAsia="zh-CN"/>
              </w:rPr>
            </w:pPr>
            <w:r>
              <w:rPr>
                <w:rFonts w:hint="eastAsia"/>
                <w:sz w:val="24"/>
                <w:lang w:val="en-US" w:eastAsia="zh-CN"/>
              </w:rPr>
              <w:t>其丢包策略如下：</w:t>
            </w:r>
          </w:p>
          <w:p>
            <w:pPr>
              <w:widowControl w:val="0"/>
              <w:numPr>
                <w:ilvl w:val="0"/>
                <w:numId w:val="0"/>
              </w:numPr>
              <w:spacing w:line="312" w:lineRule="auto"/>
              <w:jc w:val="both"/>
              <w:rPr>
                <w:rFonts w:hint="default"/>
                <w:sz w:val="24"/>
                <w:lang w:val="en-US" w:eastAsia="zh-CN"/>
              </w:rPr>
            </w:pPr>
            <w:r>
              <w:rPr>
                <w:rFonts w:hint="eastAsia"/>
                <w:sz w:val="24"/>
                <w:lang w:val="en-US" w:eastAsia="zh-CN"/>
              </w:rPr>
              <w:t>当</w:t>
            </w:r>
            <w:r>
              <w:rPr>
                <w:rFonts w:hint="eastAsia"/>
                <w:position w:val="-10"/>
                <w:sz w:val="24"/>
                <w:lang w:val="en-US" w:eastAsia="zh-CN"/>
              </w:rPr>
              <w:object>
                <v:shape id="_x0000_i1038" o:spt="75" type="#_x0000_t75" style="height:16pt;width:71pt;" o:ole="t" filled="f" o:preferrelative="t" stroked="f" coordsize="21600,21600">
                  <v:path/>
                  <v:fill on="f" focussize="0,0"/>
                  <v:stroke on="f"/>
                  <v:imagedata r:id="rId38" o:title=""/>
                  <o:lock v:ext="edit" aspectratio="t"/>
                  <w10:wrap type="none"/>
                  <w10:anchorlock/>
                </v:shape>
                <o:OLEObject Type="Embed" ProgID="Equation.KSEE3" ShapeID="_x0000_i1038" DrawAspect="Content" ObjectID="_1468075738" r:id="rId37">
                  <o:LockedField>false</o:LockedField>
                </o:OLEObject>
              </w:object>
            </w:r>
            <w:r>
              <w:rPr>
                <w:rFonts w:hint="eastAsia"/>
                <w:sz w:val="24"/>
                <w:lang w:val="en-US" w:eastAsia="zh-CN"/>
              </w:rPr>
              <w:t>时</w:t>
            </w:r>
          </w:p>
          <w:p>
            <w:pPr>
              <w:widowControl w:val="0"/>
              <w:numPr>
                <w:ilvl w:val="0"/>
                <w:numId w:val="0"/>
              </w:numPr>
              <w:spacing w:line="312" w:lineRule="auto"/>
              <w:jc w:val="center"/>
              <w:rPr>
                <w:rFonts w:hint="default"/>
                <w:sz w:val="24"/>
                <w:lang w:val="en-US" w:eastAsia="zh-CN"/>
              </w:rPr>
            </w:pPr>
            <w:r>
              <w:rPr>
                <w:rFonts w:hint="default"/>
                <w:position w:val="-86"/>
                <w:sz w:val="24"/>
                <w:lang w:val="en-US" w:eastAsia="zh-CN"/>
              </w:rPr>
              <w:object>
                <v:shape id="_x0000_i1039" o:spt="75" type="#_x0000_t75" style="height:92pt;width:246pt;" o:ole="t" filled="f" o:preferrelative="t" stroked="f" coordsize="21600,21600">
                  <v:path/>
                  <v:fill on="f" focussize="0,0"/>
                  <v:stroke on="f"/>
                  <v:imagedata r:id="rId40" o:title=""/>
                  <o:lock v:ext="edit" aspectratio="t"/>
                  <w10:wrap type="none"/>
                  <w10:anchorlock/>
                </v:shape>
                <o:OLEObject Type="Embed" ProgID="Equation.KSEE3" ShapeID="_x0000_i1039" DrawAspect="Content" ObjectID="_1468075739" r:id="rId39">
                  <o:LockedField>false</o:LockedField>
                </o:OLEObject>
              </w:object>
            </w:r>
          </w:p>
          <w:p>
            <w:pPr>
              <w:widowControl w:val="0"/>
              <w:numPr>
                <w:ilvl w:val="0"/>
                <w:numId w:val="0"/>
              </w:numPr>
              <w:spacing w:line="312" w:lineRule="auto"/>
              <w:jc w:val="both"/>
              <w:rPr>
                <w:rFonts w:hint="eastAsia"/>
                <w:sz w:val="24"/>
                <w:lang w:val="en-US" w:eastAsia="zh-CN"/>
              </w:rPr>
            </w:pPr>
            <w:r>
              <w:rPr>
                <w:rFonts w:hint="eastAsia"/>
                <w:sz w:val="24"/>
                <w:lang w:val="en-US" w:eastAsia="zh-CN"/>
              </w:rPr>
              <w:t>当</w:t>
            </w:r>
            <w:r>
              <w:rPr>
                <w:rFonts w:hint="eastAsia"/>
                <w:position w:val="-10"/>
                <w:sz w:val="24"/>
                <w:lang w:val="en-US" w:eastAsia="zh-CN"/>
              </w:rPr>
              <w:object>
                <v:shape id="_x0000_i1040" o:spt="75" type="#_x0000_t75" style="height:16pt;width:71pt;" o:ole="t" filled="f" o:preferrelative="t" stroked="f" coordsize="21600,21600">
                  <v:path/>
                  <v:fill on="f" focussize="0,0"/>
                  <v:stroke on="f"/>
                  <v:imagedata r:id="rId42" o:title=""/>
                  <o:lock v:ext="edit" aspectratio="t"/>
                  <w10:wrap type="none"/>
                  <w10:anchorlock/>
                </v:shape>
                <o:OLEObject Type="Embed" ProgID="Equation.KSEE3" ShapeID="_x0000_i1040" DrawAspect="Content" ObjectID="_1468075740" r:id="rId41">
                  <o:LockedField>false</o:LockedField>
                </o:OLEObject>
              </w:object>
            </w:r>
            <w:r>
              <w:rPr>
                <w:rFonts w:hint="eastAsia"/>
                <w:sz w:val="24"/>
                <w:lang w:val="en-US" w:eastAsia="zh-CN"/>
              </w:rPr>
              <w:t>时</w:t>
            </w:r>
          </w:p>
          <w:p>
            <w:pPr>
              <w:widowControl w:val="0"/>
              <w:numPr>
                <w:ilvl w:val="0"/>
                <w:numId w:val="0"/>
              </w:numPr>
              <w:spacing w:line="312" w:lineRule="auto"/>
              <w:jc w:val="center"/>
              <w:rPr>
                <w:rFonts w:hint="default"/>
                <w:sz w:val="24"/>
                <w:lang w:val="en-US" w:eastAsia="zh-CN"/>
              </w:rPr>
            </w:pPr>
            <w:r>
              <w:rPr>
                <w:rFonts w:hint="default"/>
                <w:position w:val="-86"/>
                <w:sz w:val="24"/>
                <w:lang w:val="en-US" w:eastAsia="zh-CN"/>
              </w:rPr>
              <w:object>
                <v:shape id="_x0000_i1041" o:spt="75" type="#_x0000_t75" style="height:92pt;width:250pt;" o:ole="t" filled="f" o:preferrelative="t" stroked="f" coordsize="21600,21600">
                  <v:path/>
                  <v:fill on="f" focussize="0,0"/>
                  <v:stroke on="f"/>
                  <v:imagedata r:id="rId44" o:title=""/>
                  <o:lock v:ext="edit" aspectratio="t"/>
                  <w10:wrap type="none"/>
                  <w10:anchorlock/>
                </v:shape>
                <o:OLEObject Type="Embed" ProgID="Equation.KSEE3" ShapeID="_x0000_i1041" DrawAspect="Content" ObjectID="_1468075741" r:id="rId43">
                  <o:LockedField>false</o:LockedField>
                </o:OLEObject>
              </w:object>
            </w:r>
          </w:p>
          <w:p>
            <w:pPr>
              <w:widowControl w:val="0"/>
              <w:numPr>
                <w:ilvl w:val="0"/>
                <w:numId w:val="0"/>
              </w:numPr>
              <w:spacing w:line="312" w:lineRule="auto"/>
              <w:jc w:val="both"/>
              <w:rPr>
                <w:rFonts w:hint="default"/>
                <w:sz w:val="24"/>
                <w:lang w:val="en-US" w:eastAsia="zh-CN"/>
              </w:rPr>
            </w:pPr>
            <w:r>
              <w:rPr>
                <w:rFonts w:hint="eastAsia"/>
                <w:sz w:val="24"/>
                <w:lang w:val="en-US" w:eastAsia="zh-CN"/>
              </w:rPr>
              <w:t>AQMRD算法中间阈值的设置不够平滑并且网络流量迅速增长时制定了激进的丢包策略，我们希望制定更加平滑的中间阈值和丢包策略。</w:t>
            </w:r>
          </w:p>
          <w:p>
            <w:pPr>
              <w:spacing w:line="312" w:lineRule="auto"/>
              <w:rPr>
                <w:b/>
                <w:bCs/>
                <w:sz w:val="24"/>
              </w:rPr>
            </w:pPr>
            <w:r>
              <w:rPr>
                <w:rFonts w:hint="eastAsia"/>
                <w:b/>
                <w:bCs/>
                <w:sz w:val="24"/>
              </w:rPr>
              <w:t>2</w:t>
            </w:r>
            <w:r>
              <w:rPr>
                <w:b/>
                <w:bCs/>
                <w:sz w:val="24"/>
              </w:rPr>
              <w:t>.5</w:t>
            </w:r>
            <w:r>
              <w:rPr>
                <w:rFonts w:hint="eastAsia"/>
                <w:b/>
                <w:bCs/>
                <w:sz w:val="24"/>
                <w:lang w:val="en-US" w:eastAsia="zh-CN"/>
              </w:rPr>
              <w:t>无损网络的拥塞控制检测</w:t>
            </w:r>
            <w:r>
              <w:rPr>
                <w:rFonts w:hint="eastAsia"/>
                <w:b/>
                <w:bCs/>
                <w:sz w:val="24"/>
              </w:rPr>
              <w:t>研究</w:t>
            </w:r>
          </w:p>
          <w:p>
            <w:pPr>
              <w:spacing w:line="312" w:lineRule="auto"/>
              <w:ind w:firstLine="480" w:firstLineChars="200"/>
              <w:rPr>
                <w:color w:val="000000"/>
                <w:sz w:val="24"/>
              </w:rPr>
            </w:pPr>
            <w:r>
              <w:rPr>
                <w:rFonts w:hint="eastAsia"/>
                <w:color w:val="000000"/>
                <w:sz w:val="24"/>
              </w:rPr>
              <w:t>1）网络整体结构</w:t>
            </w:r>
          </w:p>
          <w:p>
            <w:pPr>
              <w:spacing w:line="312" w:lineRule="auto"/>
              <w:ind w:firstLine="480" w:firstLineChars="200"/>
              <w:rPr>
                <w:color w:val="000000"/>
                <w:sz w:val="24"/>
              </w:rPr>
            </w:pPr>
            <w:r>
              <w:rPr>
                <w:rFonts w:hint="eastAsia"/>
                <w:color w:val="000000"/>
                <w:sz w:val="24"/>
              </w:rPr>
              <w:t>在计算机视觉领域中，异构和高维数据的集成变得越来越重要。多模态医学影像因能提供有关目标的多信息从而在医学影像中被广泛利用。然而，传统方法在提供可靠的多模态融合方面基本上是薄弱的，尤其是在安全关键应用（例如，医疗诊断）方面，无法有效去除多模态冗余的信息。医学影像由于不同仪器、序列导致数据间中心差异大、多模态特征间的关系复杂，数据之间的分布变化导致在部署经过训练的分割模型期间严重的性能退化。这激励我们以更具有泛化性能的方式利用多模态信息，产生值得信赖的多模态融合。</w:t>
            </w:r>
          </w:p>
          <w:p>
            <w:pPr>
              <w:spacing w:line="312" w:lineRule="auto"/>
              <w:ind w:firstLine="480" w:firstLineChars="200"/>
              <w:rPr>
                <w:color w:val="000000"/>
                <w:sz w:val="24"/>
              </w:rPr>
            </w:pPr>
            <w:r>
              <w:rPr>
                <w:rFonts w:hint="eastAsia"/>
                <w:color w:val="000000"/>
                <w:sz w:val="24"/>
              </w:rPr>
              <w:t>对于上述表示，本课题采用了一种c</w:t>
            </w:r>
            <w:r>
              <w:rPr>
                <w:color w:val="000000"/>
                <w:sz w:val="24"/>
              </w:rPr>
              <w:t xml:space="preserve">hannel </w:t>
            </w:r>
            <w:r>
              <w:rPr>
                <w:rFonts w:hint="eastAsia"/>
                <w:color w:val="000000"/>
                <w:sz w:val="24"/>
              </w:rPr>
              <w:t>e</w:t>
            </w:r>
            <w:r>
              <w:rPr>
                <w:color w:val="000000"/>
                <w:sz w:val="24"/>
              </w:rPr>
              <w:t>xchanging</w:t>
            </w:r>
            <w:r>
              <w:rPr>
                <w:rFonts w:hint="eastAsia"/>
                <w:color w:val="000000"/>
                <w:sz w:val="24"/>
              </w:rPr>
              <w:t>网络，它具有自适应性、无参数性，如图5所示为本课题拟采用的网络结构图。本课题采用Res</w:t>
            </w:r>
            <w:r>
              <w:rPr>
                <w:color w:val="000000"/>
                <w:sz w:val="24"/>
              </w:rPr>
              <w:t>N</w:t>
            </w:r>
            <w:r>
              <w:rPr>
                <w:rFonts w:hint="eastAsia"/>
                <w:color w:val="000000"/>
                <w:sz w:val="24"/>
              </w:rPr>
              <w:t>et</w:t>
            </w:r>
            <w:r>
              <w:rPr>
                <w:color w:val="000000"/>
                <w:sz w:val="24"/>
              </w:rPr>
              <w:t>-18</w:t>
            </w:r>
            <w:r>
              <w:rPr>
                <w:rFonts w:hint="eastAsia"/>
                <w:color w:val="000000"/>
                <w:sz w:val="24"/>
              </w:rPr>
              <w:t>作为主干网络来挖掘医学影像中肿瘤的特征，设置孪生网络架构作为提取特征总结构。将主干网络中的每个stage利用channel</w:t>
            </w:r>
            <w:r>
              <w:rPr>
                <w:color w:val="000000"/>
                <w:sz w:val="24"/>
              </w:rPr>
              <w:t xml:space="preserve"> </w:t>
            </w:r>
            <w:r>
              <w:rPr>
                <w:rFonts w:hint="eastAsia"/>
                <w:color w:val="000000"/>
                <w:sz w:val="24"/>
              </w:rPr>
              <w:t>exchanging对每个阶段不同模态特征融合。在分割任务中，随着网络层的加深，不同尺度的特征图之间的不一致性越来越明显，Refine</w:t>
            </w:r>
            <w:r>
              <w:rPr>
                <w:color w:val="000000"/>
                <w:sz w:val="24"/>
              </w:rPr>
              <w:t>-</w:t>
            </w:r>
            <w:r>
              <w:rPr>
                <w:rFonts w:hint="eastAsia"/>
                <w:color w:val="000000"/>
                <w:sz w:val="24"/>
              </w:rPr>
              <w:t>Net通过一系列子模块</w:t>
            </w:r>
            <w:r>
              <w:rPr>
                <w:color w:val="000000"/>
                <w:sz w:val="24"/>
              </w:rPr>
              <w:t>把不同分辨率的</w:t>
            </w:r>
            <w:r>
              <w:rPr>
                <w:rFonts w:hint="eastAsia"/>
                <w:color w:val="000000"/>
                <w:sz w:val="24"/>
              </w:rPr>
              <w:t>特征进行细化和融合，显式的利用了下采样过程的所有信息，使用远程残差连接来实现高分辨率的预测。在分类任务中，将第4个stage提取的特征使用双线性池化进行特征向量融合。</w:t>
            </w:r>
          </w:p>
          <w:p>
            <w:pPr>
              <w:spacing w:line="312" w:lineRule="auto"/>
              <w:rPr>
                <w:color w:val="000000"/>
                <w:sz w:val="24"/>
              </w:rPr>
            </w:pPr>
            <w:r>
              <w:rPr>
                <w:color w:val="000000"/>
                <w:sz w:val="24"/>
              </w:rPr>
              <w:drawing>
                <wp:inline distT="0" distB="0" distL="0" distR="0">
                  <wp:extent cx="5623560" cy="31381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5"/>
                          <a:stretch>
                            <a:fillRect/>
                          </a:stretch>
                        </pic:blipFill>
                        <pic:spPr>
                          <a:xfrm>
                            <a:off x="0" y="0"/>
                            <a:ext cx="5623560" cy="313817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 xml:space="preserve">5 </w:t>
            </w:r>
            <w:r>
              <w:rPr>
                <w:rFonts w:hint="eastAsia" w:eastAsia="黑体"/>
                <w:color w:val="000000"/>
                <w:szCs w:val="21"/>
              </w:rPr>
              <w:t>多模态融合总框架图</w:t>
            </w:r>
          </w:p>
          <w:p>
            <w:pPr>
              <w:spacing w:line="312" w:lineRule="auto"/>
              <w:ind w:firstLine="480" w:firstLineChars="200"/>
              <w:rPr>
                <w:color w:val="000000"/>
                <w:sz w:val="24"/>
              </w:rPr>
            </w:pPr>
            <w:r>
              <w:rPr>
                <w:rFonts w:hint="eastAsia"/>
                <w:color w:val="000000"/>
                <w:sz w:val="24"/>
              </w:rPr>
              <w:t>2）多模态影像融合</w:t>
            </w:r>
          </w:p>
          <w:p>
            <w:pPr>
              <w:spacing w:line="312" w:lineRule="auto"/>
              <w:ind w:firstLine="480" w:firstLineChars="200"/>
              <w:rPr>
                <w:color w:val="000000"/>
                <w:sz w:val="24"/>
              </w:rPr>
            </w:pPr>
            <w:r>
              <w:rPr>
                <w:color w:val="000000"/>
                <w:sz w:val="24"/>
              </w:rPr>
              <w:t xml:space="preserve">Channel </w:t>
            </w:r>
            <w:r>
              <w:rPr>
                <w:rFonts w:hint="eastAsia"/>
                <w:color w:val="000000"/>
                <w:sz w:val="24"/>
              </w:rPr>
              <w:t>e</w:t>
            </w:r>
            <w:r>
              <w:rPr>
                <w:color w:val="000000"/>
                <w:sz w:val="24"/>
              </w:rPr>
              <w:t>xchanging</w:t>
            </w:r>
            <w:r>
              <w:rPr>
                <w:rFonts w:hint="eastAsia"/>
                <w:color w:val="000000"/>
                <w:sz w:val="24"/>
              </w:rPr>
              <w:t>是通过不同的模态间的通道交换来实现多模态信息的融合，如图6所示，channel exchanging是利用batch normalization中的scaling factor的大小来自行度量每个channel重要性，将每个模态中不太重要的channel交换成其他模态中重要的channel，为了保持模态内的处理，此方法允许在每个模态通道的一定范围内进行有向通道交换。这种做法在不增加参数的情况下既保证了每个模态中固有的信息，又有效地融合所有模态的信息。</w:t>
            </w:r>
          </w:p>
          <w:p>
            <w:pPr>
              <w:spacing w:line="312" w:lineRule="auto"/>
              <w:ind w:firstLine="480" w:firstLineChars="200"/>
              <w:jc w:val="center"/>
              <w:rPr>
                <w:color w:val="000000"/>
                <w:sz w:val="24"/>
              </w:rPr>
            </w:pPr>
            <w:r>
              <w:rPr>
                <w:color w:val="000000"/>
                <w:sz w:val="24"/>
              </w:rPr>
              <w:drawing>
                <wp:inline distT="0" distB="0" distL="0" distR="0">
                  <wp:extent cx="3689350" cy="175387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6"/>
                          <a:stretch>
                            <a:fillRect/>
                          </a:stretch>
                        </pic:blipFill>
                        <pic:spPr>
                          <a:xfrm>
                            <a:off x="0" y="0"/>
                            <a:ext cx="3714062" cy="1765605"/>
                          </a:xfrm>
                          <a:prstGeom prst="rect">
                            <a:avLst/>
                          </a:prstGeom>
                        </pic:spPr>
                      </pic:pic>
                    </a:graphicData>
                  </a:graphic>
                </wp:inline>
              </w:drawing>
            </w:r>
          </w:p>
          <w:p>
            <w:pPr>
              <w:jc w:val="center"/>
              <w:rPr>
                <w:rFonts w:eastAsia="黑体"/>
                <w:color w:val="000000"/>
                <w:szCs w:val="21"/>
              </w:rPr>
            </w:pPr>
            <w:r>
              <w:rPr>
                <w:rFonts w:eastAsia="黑体"/>
                <w:color w:val="000000"/>
                <w:szCs w:val="21"/>
              </w:rPr>
              <w:t>图6 Channel Exchanging框架图</w:t>
            </w:r>
          </w:p>
          <w:p>
            <w:pPr>
              <w:spacing w:line="312" w:lineRule="auto"/>
              <w:ind w:firstLine="480" w:firstLineChars="200"/>
              <w:rPr>
                <w:color w:val="000000"/>
                <w:sz w:val="24"/>
              </w:rPr>
            </w:pPr>
            <w:r>
              <w:rPr>
                <w:rFonts w:hint="eastAsia"/>
                <w:color w:val="000000"/>
                <w:sz w:val="24"/>
              </w:rPr>
              <w:t>在分割任务中，本课题采用了Refine</w:t>
            </w:r>
            <w:r>
              <w:rPr>
                <w:color w:val="000000"/>
                <w:sz w:val="24"/>
              </w:rPr>
              <w:t>N</w:t>
            </w:r>
            <w:r>
              <w:rPr>
                <w:rFonts w:hint="eastAsia"/>
                <w:color w:val="000000"/>
                <w:sz w:val="24"/>
              </w:rPr>
              <w:t>et将前面的多种分辨率的特征图输入到融合模块，网络框架如图7所示，每一个Refine</w:t>
            </w:r>
            <w:r>
              <w:rPr>
                <w:color w:val="000000"/>
                <w:sz w:val="24"/>
              </w:rPr>
              <w:t>N</w:t>
            </w:r>
            <w:r>
              <w:rPr>
                <w:rFonts w:hint="eastAsia"/>
                <w:color w:val="000000"/>
                <w:sz w:val="24"/>
              </w:rPr>
              <w:t>et是由残差卷积模块（residual conv unit，R</w:t>
            </w:r>
            <w:r>
              <w:rPr>
                <w:color w:val="000000"/>
                <w:sz w:val="24"/>
              </w:rPr>
              <w:t>CU</w:t>
            </w:r>
            <w:r>
              <w:rPr>
                <w:rFonts w:hint="eastAsia"/>
                <w:color w:val="000000"/>
                <w:sz w:val="24"/>
              </w:rPr>
              <w:t>）、多分辨率融合模块（multi-resolution fusion，M</w:t>
            </w:r>
            <w:r>
              <w:rPr>
                <w:color w:val="000000"/>
                <w:sz w:val="24"/>
              </w:rPr>
              <w:t>RF</w:t>
            </w:r>
            <w:r>
              <w:rPr>
                <w:rFonts w:hint="eastAsia"/>
                <w:color w:val="000000"/>
                <w:sz w:val="24"/>
              </w:rPr>
              <w:t>）、链式残差池化模块组成（chained residual pooling，C</w:t>
            </w:r>
            <w:r>
              <w:rPr>
                <w:color w:val="000000"/>
                <w:sz w:val="24"/>
              </w:rPr>
              <w:t>RP</w:t>
            </w:r>
            <w:r>
              <w:rPr>
                <w:rFonts w:hint="eastAsia"/>
                <w:color w:val="000000"/>
                <w:sz w:val="24"/>
              </w:rPr>
              <w:t>），通过使用带残差连接的同态映射构建所有模块，梯度能够在短距离和长距离传播，充分利用下采样过程中损失的信息，进一步以一种有效的方式从背景信息中俘获上下文信息。</w:t>
            </w:r>
          </w:p>
          <w:p>
            <w:pPr>
              <w:spacing w:line="312" w:lineRule="auto"/>
              <w:ind w:firstLine="480" w:firstLineChars="200"/>
              <w:jc w:val="center"/>
              <w:rPr>
                <w:color w:val="000000"/>
                <w:sz w:val="24"/>
              </w:rPr>
            </w:pPr>
            <w:r>
              <w:rPr>
                <w:color w:val="000000"/>
                <w:sz w:val="24"/>
              </w:rPr>
              <w:drawing>
                <wp:inline distT="0" distB="0" distL="0" distR="0">
                  <wp:extent cx="4229100" cy="2165350"/>
                  <wp:effectExtent l="0" t="0" r="0" b="63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7"/>
                          <a:stretch>
                            <a:fillRect/>
                          </a:stretch>
                        </pic:blipFill>
                        <pic:spPr>
                          <a:xfrm>
                            <a:off x="0" y="0"/>
                            <a:ext cx="4229317" cy="2165461"/>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7 R</w:t>
            </w:r>
            <w:r>
              <w:rPr>
                <w:rFonts w:hint="eastAsia" w:eastAsia="黑体"/>
                <w:color w:val="000000"/>
                <w:szCs w:val="21"/>
              </w:rPr>
              <w:t>efine</w:t>
            </w:r>
            <w:r>
              <w:rPr>
                <w:rFonts w:eastAsia="黑体"/>
                <w:color w:val="000000"/>
                <w:szCs w:val="21"/>
              </w:rPr>
              <w:t>N</w:t>
            </w:r>
            <w:r>
              <w:rPr>
                <w:rFonts w:hint="eastAsia" w:eastAsia="黑体"/>
                <w:color w:val="000000"/>
                <w:szCs w:val="21"/>
              </w:rPr>
              <w:t>et的框架示意图</w:t>
            </w:r>
          </w:p>
          <w:p>
            <w:pPr>
              <w:spacing w:line="312" w:lineRule="auto"/>
              <w:ind w:firstLine="480" w:firstLineChars="200"/>
              <w:rPr>
                <w:color w:val="000000"/>
                <w:sz w:val="24"/>
              </w:rPr>
            </w:pPr>
            <w:r>
              <w:rPr>
                <w:rFonts w:hint="eastAsia"/>
                <w:color w:val="000000"/>
                <w:sz w:val="24"/>
              </w:rPr>
              <w:t>在分类任务中，引入了视觉问答领域多模态因子分解双线性池化（m</w:t>
            </w:r>
            <w:r>
              <w:rPr>
                <w:color w:val="000000"/>
                <w:sz w:val="24"/>
              </w:rPr>
              <w:t xml:space="preserve">ulti-modal </w:t>
            </w:r>
            <w:r>
              <w:rPr>
                <w:rFonts w:hint="eastAsia"/>
                <w:color w:val="000000"/>
                <w:sz w:val="24"/>
              </w:rPr>
              <w:t>f</w:t>
            </w:r>
            <w:r>
              <w:rPr>
                <w:color w:val="000000"/>
                <w:sz w:val="24"/>
              </w:rPr>
              <w:t xml:space="preserve">actorized </w:t>
            </w:r>
            <w:r>
              <w:rPr>
                <w:rFonts w:hint="eastAsia"/>
                <w:color w:val="000000"/>
                <w:sz w:val="24"/>
              </w:rPr>
              <w:t>b</w:t>
            </w:r>
            <w:r>
              <w:rPr>
                <w:color w:val="000000"/>
                <w:sz w:val="24"/>
              </w:rPr>
              <w:t xml:space="preserve">ilinear </w:t>
            </w:r>
            <w:r>
              <w:rPr>
                <w:rFonts w:hint="eastAsia"/>
                <w:color w:val="000000"/>
                <w:sz w:val="24"/>
              </w:rPr>
              <w:t>p</w:t>
            </w:r>
            <w:r>
              <w:rPr>
                <w:color w:val="000000"/>
                <w:sz w:val="24"/>
              </w:rPr>
              <w:t>ooling</w:t>
            </w:r>
            <w:r>
              <w:rPr>
                <w:rFonts w:hint="eastAsia"/>
                <w:color w:val="000000"/>
                <w:sz w:val="24"/>
              </w:rPr>
              <w:t>，M</w:t>
            </w:r>
            <w:r>
              <w:rPr>
                <w:color w:val="000000"/>
                <w:sz w:val="24"/>
              </w:rPr>
              <w:t>FB</w:t>
            </w:r>
            <w:r>
              <w:rPr>
                <w:rFonts w:hint="eastAsia"/>
                <w:color w:val="000000"/>
                <w:sz w:val="24"/>
              </w:rPr>
              <w:t>）的方法</w:t>
            </w:r>
            <w:r>
              <w:rPr>
                <w:color w:val="000000"/>
                <w:sz w:val="24"/>
              </w:rPr>
              <w:t>以高效和有效地组合多模态特征</w:t>
            </w:r>
            <w:r>
              <w:rPr>
                <w:rFonts w:hint="eastAsia"/>
                <w:color w:val="000000"/>
                <w:sz w:val="24"/>
              </w:rPr>
              <w:t>，如图8所示，M</w:t>
            </w:r>
            <w:r>
              <w:rPr>
                <w:color w:val="000000"/>
                <w:sz w:val="24"/>
              </w:rPr>
              <w:t>FB</w:t>
            </w:r>
            <w:r>
              <w:rPr>
                <w:rFonts w:hint="eastAsia"/>
                <w:color w:val="000000"/>
                <w:sz w:val="24"/>
              </w:rPr>
              <w:t>采用了</w:t>
            </w:r>
            <w:r>
              <w:rPr>
                <w:color w:val="000000"/>
                <w:sz w:val="24"/>
              </w:rPr>
              <w:t xml:space="preserve">Tensor </w:t>
            </w:r>
            <w:r>
              <w:rPr>
                <w:rFonts w:hint="eastAsia"/>
                <w:color w:val="000000"/>
                <w:sz w:val="24"/>
              </w:rPr>
              <w:t>s</w:t>
            </w:r>
            <w:r>
              <w:rPr>
                <w:color w:val="000000"/>
                <w:sz w:val="24"/>
              </w:rPr>
              <w:t>ketch</w:t>
            </w:r>
            <w:r>
              <w:rPr>
                <w:rFonts w:hint="eastAsia"/>
                <w:color w:val="000000"/>
                <w:sz w:val="24"/>
              </w:rPr>
              <w:t>和</w:t>
            </w:r>
            <w:r>
              <w:rPr>
                <w:color w:val="000000"/>
                <w:sz w:val="24"/>
              </w:rPr>
              <w:t>Hadamard produ</w:t>
            </w:r>
            <w:r>
              <w:rPr>
                <w:rFonts w:hint="eastAsia"/>
                <w:color w:val="000000"/>
                <w:sz w:val="24"/>
              </w:rPr>
              <w:t>ct算法，既有效减少模型的参数数量和计算时间，又保持了高维输出来保证模型的鲁棒性。这样可以让不同模态的特征之间相互指导，具有更强的可解释性。</w:t>
            </w:r>
          </w:p>
          <w:p>
            <w:pPr>
              <w:spacing w:line="312" w:lineRule="auto"/>
              <w:jc w:val="center"/>
              <w:rPr>
                <w:color w:val="000000"/>
                <w:sz w:val="24"/>
              </w:rPr>
            </w:pPr>
            <w:r>
              <w:rPr>
                <w:color w:val="000000"/>
                <w:sz w:val="24"/>
              </w:rPr>
              <w:drawing>
                <wp:inline distT="0" distB="0" distL="0" distR="0">
                  <wp:extent cx="3885565" cy="2603500"/>
                  <wp:effectExtent l="0" t="0" r="63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8">
                            <a:extLst>
                              <a:ext uri="{28A0092B-C50C-407E-A947-70E740481C1C}">
                                <a14:useLocalDpi xmlns:a14="http://schemas.microsoft.com/office/drawing/2010/main" val="0"/>
                              </a:ext>
                            </a:extLst>
                          </a:blip>
                          <a:srcRect l="2397"/>
                          <a:stretch>
                            <a:fillRect/>
                          </a:stretch>
                        </pic:blipFill>
                        <pic:spPr>
                          <a:xfrm>
                            <a:off x="0" y="0"/>
                            <a:ext cx="3886034" cy="2603500"/>
                          </a:xfrm>
                          <a:prstGeom prst="rect">
                            <a:avLst/>
                          </a:prstGeom>
                          <a:noFill/>
                          <a:ln>
                            <a:noFill/>
                          </a:ln>
                        </pic:spPr>
                      </pic:pic>
                    </a:graphicData>
                  </a:graphic>
                </wp:inline>
              </w:drawing>
            </w:r>
          </w:p>
          <w:p>
            <w:pPr>
              <w:jc w:val="center"/>
              <w:rPr>
                <w:rFonts w:eastAsia="黑体"/>
                <w:color w:val="000000"/>
                <w:szCs w:val="21"/>
              </w:rPr>
            </w:pPr>
            <w:r>
              <w:rPr>
                <w:rFonts w:eastAsia="黑体"/>
                <w:color w:val="000000"/>
                <w:szCs w:val="21"/>
              </w:rPr>
              <w:t>图8 多模态因子分解双线性流程图</w:t>
            </w:r>
          </w:p>
          <w:p>
            <w:pPr>
              <w:spacing w:line="312" w:lineRule="auto"/>
              <w:rPr>
                <w:b/>
                <w:bCs/>
                <w:sz w:val="24"/>
              </w:rPr>
            </w:pPr>
            <w:r>
              <w:rPr>
                <w:rFonts w:hint="eastAsia"/>
                <w:b/>
                <w:bCs/>
                <w:sz w:val="24"/>
              </w:rPr>
              <w:t>2</w:t>
            </w:r>
            <w:r>
              <w:rPr>
                <w:b/>
                <w:bCs/>
                <w:sz w:val="24"/>
              </w:rPr>
              <w:t>.6</w:t>
            </w:r>
            <w:r>
              <w:rPr>
                <w:rFonts w:hint="eastAsia"/>
                <w:b/>
                <w:bCs/>
                <w:sz w:val="24"/>
              </w:rPr>
              <w:t>分割任务中类内差异性和边界模糊的算法研究</w:t>
            </w:r>
          </w:p>
          <w:p>
            <w:pPr>
              <w:spacing w:line="312" w:lineRule="auto"/>
              <w:ind w:firstLine="480" w:firstLineChars="200"/>
              <w:rPr>
                <w:color w:val="000000"/>
                <w:sz w:val="24"/>
              </w:rPr>
            </w:pPr>
            <w:r>
              <w:rPr>
                <w:rFonts w:hint="eastAsia"/>
                <w:color w:val="000000"/>
                <w:sz w:val="24"/>
              </w:rPr>
              <w:t>1）网络整体结构</w:t>
            </w:r>
          </w:p>
          <w:p>
            <w:pPr>
              <w:spacing w:line="312" w:lineRule="auto"/>
              <w:ind w:firstLine="480" w:firstLineChars="200"/>
              <w:rPr>
                <w:color w:val="000000"/>
                <w:sz w:val="24"/>
              </w:rPr>
            </w:pPr>
            <w:r>
              <w:rPr>
                <w:rFonts w:hint="eastAsia"/>
                <w:color w:val="000000"/>
                <w:sz w:val="24"/>
              </w:rPr>
              <w:t>在临床中分析肿瘤医学图像时，模型正确分割医学图像域中的感兴趣区是提高诊断和治疗的重要关键。然而，由于生物组织之间的结构边界模糊性、异质纹理、对比度差以及没有领域知识对分割区域的不确定性，难以获得准确的分割结果。即使是专家，根据他们的经验和技能，他们的描述也略有不同。</w:t>
            </w:r>
          </w:p>
          <w:p>
            <w:pPr>
              <w:spacing w:line="312" w:lineRule="auto"/>
              <w:ind w:firstLine="480" w:firstLineChars="200"/>
              <w:rPr>
                <w:color w:val="000000"/>
                <w:sz w:val="24"/>
              </w:rPr>
            </w:pPr>
            <w:bookmarkStart w:id="0" w:name="_Hlk119056846"/>
            <w:r>
              <w:rPr>
                <w:rFonts w:hint="eastAsia"/>
                <w:color w:val="000000"/>
                <w:sz w:val="24"/>
              </w:rPr>
              <w:t>深度学习中的卷积神经网络通过具有不同核的卷积层和池化层来捕获包含丰富位置信息和语义信息的多尺度特征。低级特征具有更高的分辨率，可以生成清晰和详细的边界，但上下文信息较少，而高级特征具有更抽象的语义信息，这些语义信息擅长进行类别分类，但在形状和位置上较弱，因此，充分结合不同尺度的特征可以用来检测不同尺寸的肿瘤。</w:t>
            </w:r>
          </w:p>
          <w:p>
            <w:pPr>
              <w:spacing w:line="312" w:lineRule="auto"/>
              <w:ind w:firstLine="480" w:firstLineChars="200"/>
              <w:rPr>
                <w:color w:val="000000"/>
                <w:sz w:val="24"/>
              </w:rPr>
            </w:pPr>
            <w:r>
              <w:rPr>
                <w:rFonts w:hint="eastAsia"/>
                <w:color w:val="000000"/>
                <w:sz w:val="24"/>
              </w:rPr>
              <w:t>对于肿瘤类内差异性，模型需要针对各种变化（如形状、大小和纹理）保持不变，因此，本课题预计设计如图9的网络框架图，利用3</w:t>
            </w:r>
            <w:r>
              <w:rPr>
                <w:color w:val="000000"/>
                <w:sz w:val="24"/>
              </w:rPr>
              <w:t>D</w:t>
            </w:r>
            <w:r>
              <w:rPr>
                <w:rFonts w:hint="eastAsia"/>
                <w:color w:val="000000"/>
                <w:sz w:val="24"/>
              </w:rPr>
              <w:t>预训练模型Res</w:t>
            </w:r>
            <w:r>
              <w:rPr>
                <w:color w:val="000000"/>
                <w:sz w:val="24"/>
              </w:rPr>
              <w:t>N</w:t>
            </w:r>
            <w:r>
              <w:rPr>
                <w:rFonts w:hint="eastAsia"/>
                <w:color w:val="000000"/>
                <w:sz w:val="24"/>
              </w:rPr>
              <w:t>et</w:t>
            </w:r>
            <w:r>
              <w:rPr>
                <w:color w:val="000000"/>
                <w:sz w:val="24"/>
              </w:rPr>
              <w:t>-34</w:t>
            </w:r>
            <w:r>
              <w:rPr>
                <w:rFonts w:hint="eastAsia"/>
                <w:color w:val="000000"/>
                <w:sz w:val="24"/>
              </w:rPr>
              <w:t>为主干网络以获取不同分辨率的多尺度特征，为了能够更好的聚合不同区域中有效的上下文信息、区域语义，提高获取全局信息的能力。本课题预计引入了visual attention模块、global context attention模块。对于肿瘤边界模糊性，本课题采用了自然图像方面的b</w:t>
            </w:r>
            <w:r>
              <w:rPr>
                <w:color w:val="000000"/>
                <w:sz w:val="24"/>
              </w:rPr>
              <w:t xml:space="preserve">oundary </w:t>
            </w:r>
            <w:r>
              <w:rPr>
                <w:rFonts w:hint="eastAsia"/>
                <w:color w:val="000000"/>
                <w:sz w:val="24"/>
              </w:rPr>
              <w:t>r</w:t>
            </w:r>
            <w:r>
              <w:rPr>
                <w:color w:val="000000"/>
                <w:sz w:val="24"/>
              </w:rPr>
              <w:t>efinement</w:t>
            </w:r>
            <w:r>
              <w:rPr>
                <w:rFonts w:hint="eastAsia"/>
                <w:color w:val="000000"/>
                <w:sz w:val="24"/>
              </w:rPr>
              <w:t>模块，以细化对象边界并提高预测精度。在分类任务中，由于深层网络的语义信息丰富，直接使用预训练模型的深层语义特征作为分类特征。尽管网络能够充分利用多级特征，但参数数量也明显增加，这可能会带来额外的优化难度。为了解决这个问题，计划在模型中添加深度监督，旨在简化训练过程并加快网络模型的优化。</w:t>
            </w:r>
            <w:bookmarkEnd w:id="0"/>
          </w:p>
          <w:p>
            <w:pPr>
              <w:spacing w:line="312" w:lineRule="auto"/>
              <w:rPr>
                <w:color w:val="000000"/>
                <w:sz w:val="24"/>
              </w:rPr>
            </w:pPr>
            <w:r>
              <w:rPr>
                <w:color w:val="000000"/>
                <w:sz w:val="24"/>
              </w:rPr>
              <w:drawing>
                <wp:inline distT="0" distB="0" distL="0" distR="0">
                  <wp:extent cx="5623560" cy="23253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49"/>
                          <a:stretch>
                            <a:fillRect/>
                          </a:stretch>
                        </pic:blipFill>
                        <pic:spPr>
                          <a:xfrm>
                            <a:off x="0" y="0"/>
                            <a:ext cx="5623560" cy="232537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 xml:space="preserve">9 </w:t>
            </w:r>
            <w:r>
              <w:rPr>
                <w:rFonts w:hint="eastAsia" w:eastAsia="黑体"/>
                <w:color w:val="000000"/>
                <w:szCs w:val="21"/>
              </w:rPr>
              <w:t>多尺度注意力网络概述</w:t>
            </w:r>
          </w:p>
          <w:p>
            <w:pPr>
              <w:spacing w:line="312" w:lineRule="auto"/>
              <w:ind w:firstLine="480" w:firstLineChars="200"/>
              <w:rPr>
                <w:color w:val="000000"/>
                <w:sz w:val="24"/>
              </w:rPr>
            </w:pPr>
            <w:r>
              <w:rPr>
                <w:rFonts w:hint="eastAsia"/>
                <w:color w:val="000000"/>
                <w:sz w:val="24"/>
              </w:rPr>
              <w:t>2）注意力机制模块</w:t>
            </w:r>
          </w:p>
          <w:p>
            <w:pPr>
              <w:spacing w:line="312" w:lineRule="auto"/>
              <w:ind w:firstLine="480" w:firstLineChars="200"/>
              <w:rPr>
                <w:sz w:val="24"/>
              </w:rPr>
            </w:pPr>
            <w:r>
              <w:rPr>
                <w:rFonts w:hint="eastAsia"/>
                <w:sz w:val="24"/>
              </w:rPr>
              <w:t>VA模块的目标是探索不同尺度特征中的局部和全局3D空间信息，如图1</w:t>
            </w:r>
            <w:r>
              <w:rPr>
                <w:sz w:val="24"/>
              </w:rPr>
              <w:t>0</w:t>
            </w:r>
            <w:r>
              <w:rPr>
                <w:rFonts w:hint="eastAsia"/>
                <w:sz w:val="24"/>
              </w:rPr>
              <w:t>（</w:t>
            </w:r>
            <w:r>
              <w:rPr>
                <w:sz w:val="24"/>
              </w:rPr>
              <w:t>a</w:t>
            </w:r>
            <w:r>
              <w:rPr>
                <w:rFonts w:hint="eastAsia"/>
                <w:sz w:val="24"/>
              </w:rPr>
              <w:t>）所示，V</w:t>
            </w:r>
            <w:r>
              <w:rPr>
                <w:sz w:val="24"/>
              </w:rPr>
              <w:t>A</w:t>
            </w:r>
            <w:r>
              <w:rPr>
                <w:rFonts w:hint="eastAsia"/>
                <w:sz w:val="24"/>
              </w:rPr>
              <w:t>模块以卷积层为中心，建立不同分支的空洞卷积以控制其偏心，形成具有不同感受野的多分支注意力特征池，更好的捕捉不同像素点之间的内在关系。G</w:t>
            </w:r>
            <w:r>
              <w:rPr>
                <w:sz w:val="24"/>
              </w:rPr>
              <w:t>CA</w:t>
            </w:r>
            <w:r>
              <w:rPr>
                <w:rFonts w:hint="eastAsia"/>
                <w:sz w:val="24"/>
              </w:rPr>
              <w:t>模块是能够精细化上下文信息的使用程度以解决不同患者的肿瘤大小、形态、纹理呈现的类内差异性，如图1</w:t>
            </w:r>
            <w:r>
              <w:rPr>
                <w:sz w:val="24"/>
              </w:rPr>
              <w:t>0</w:t>
            </w:r>
            <w:r>
              <w:rPr>
                <w:rFonts w:hint="eastAsia"/>
                <w:sz w:val="24"/>
              </w:rPr>
              <w:t>（b）所示，G</w:t>
            </w:r>
            <w:r>
              <w:rPr>
                <w:sz w:val="24"/>
              </w:rPr>
              <w:t>CA</w:t>
            </w:r>
            <w:r>
              <w:rPr>
                <w:rFonts w:hint="eastAsia"/>
                <w:sz w:val="24"/>
              </w:rPr>
              <w:t>应用卷积来调整高分辨率和低分辨率融合特征图的通道维度，然后通过全局池化到低分辨率以获得全局上下文信息，引入了注意力机制从而充分利用不同分辨率实现跨尺度特征融合。受自然图像中的研究，</w:t>
            </w:r>
            <w:r>
              <w:rPr>
                <w:sz w:val="24"/>
              </w:rPr>
              <w:t>BR</w:t>
            </w:r>
            <w:r>
              <w:rPr>
                <w:rFonts w:hint="eastAsia"/>
                <w:sz w:val="24"/>
              </w:rPr>
              <w:t>模块具有提高边界处的定位能力，因此我们尝试用该方法解决因图像对比度低所造成的边界模糊性问题。如图1</w:t>
            </w:r>
            <w:r>
              <w:rPr>
                <w:sz w:val="24"/>
              </w:rPr>
              <w:t>0</w:t>
            </w:r>
            <w:r>
              <w:rPr>
                <w:rFonts w:hint="eastAsia"/>
                <w:sz w:val="24"/>
              </w:rPr>
              <w:t>（c）所示，BR模块是基于残差结构的来帮助网络加强肿瘤边界的细节。</w:t>
            </w:r>
          </w:p>
          <w:p>
            <w:pPr>
              <w:spacing w:line="312" w:lineRule="auto"/>
              <w:jc w:val="center"/>
              <w:rPr>
                <w:b/>
                <w:bCs/>
                <w:sz w:val="24"/>
              </w:rPr>
            </w:pPr>
            <w:r>
              <w:rPr>
                <w:b/>
                <w:bCs/>
                <w:sz w:val="24"/>
              </w:rPr>
              <w:t xml:space="preserve"> </w:t>
            </w:r>
            <w:r>
              <w:rPr>
                <w:b/>
                <w:bCs/>
                <w:sz w:val="24"/>
              </w:rPr>
              <w:drawing>
                <wp:inline distT="0" distB="0" distL="0" distR="0">
                  <wp:extent cx="5623560" cy="16408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0"/>
                          <a:stretch>
                            <a:fillRect/>
                          </a:stretch>
                        </pic:blipFill>
                        <pic:spPr>
                          <a:xfrm>
                            <a:off x="0" y="0"/>
                            <a:ext cx="5623560" cy="164084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10</w:t>
            </w:r>
            <w:r>
              <w:rPr>
                <w:rFonts w:hint="eastAsia" w:eastAsia="黑体"/>
                <w:color w:val="000000"/>
                <w:szCs w:val="21"/>
              </w:rPr>
              <w:t xml:space="preserve"> </w:t>
            </w:r>
            <w:r>
              <w:rPr>
                <w:rFonts w:hint="eastAsia"/>
                <w:sz w:val="24"/>
              </w:rPr>
              <w:t>（a）</w:t>
            </w:r>
            <w:r>
              <w:rPr>
                <w:sz w:val="24"/>
              </w:rPr>
              <w:t>V</w:t>
            </w:r>
            <w:r>
              <w:rPr>
                <w:rFonts w:hint="eastAsia"/>
                <w:sz w:val="24"/>
              </w:rPr>
              <w:t>isual</w:t>
            </w:r>
            <w:r>
              <w:rPr>
                <w:sz w:val="24"/>
              </w:rPr>
              <w:t xml:space="preserve"> A</w:t>
            </w:r>
            <w:r>
              <w:rPr>
                <w:rFonts w:hint="eastAsia"/>
                <w:sz w:val="24"/>
              </w:rPr>
              <w:t>ttention模块</w:t>
            </w:r>
            <w:r>
              <w:rPr>
                <w:rFonts w:hint="eastAsia" w:eastAsia="黑体"/>
                <w:color w:val="000000"/>
                <w:szCs w:val="21"/>
              </w:rPr>
              <w:t>（b）Global</w:t>
            </w:r>
            <w:r>
              <w:rPr>
                <w:rFonts w:eastAsia="黑体"/>
                <w:color w:val="000000"/>
                <w:szCs w:val="21"/>
              </w:rPr>
              <w:t xml:space="preserve"> Context Attention</w:t>
            </w:r>
            <w:r>
              <w:rPr>
                <w:rFonts w:hint="eastAsia" w:eastAsia="黑体"/>
                <w:color w:val="000000"/>
                <w:szCs w:val="21"/>
              </w:rPr>
              <w:t>模块</w:t>
            </w:r>
          </w:p>
          <w:p>
            <w:pPr>
              <w:jc w:val="center"/>
              <w:rPr>
                <w:rFonts w:eastAsia="黑体"/>
                <w:color w:val="000000"/>
                <w:szCs w:val="21"/>
              </w:rPr>
            </w:pPr>
            <w:r>
              <w:rPr>
                <w:rFonts w:hint="eastAsia" w:eastAsia="黑体"/>
                <w:color w:val="000000"/>
                <w:szCs w:val="21"/>
              </w:rPr>
              <w:t>（c）</w:t>
            </w:r>
            <w:r>
              <w:rPr>
                <w:rFonts w:eastAsia="黑体"/>
                <w:color w:val="000000"/>
                <w:szCs w:val="21"/>
              </w:rPr>
              <w:t>Boundary Refinement</w:t>
            </w:r>
            <w:r>
              <w:rPr>
                <w:rFonts w:hint="eastAsia" w:eastAsia="黑体"/>
                <w:color w:val="000000"/>
                <w:szCs w:val="21"/>
              </w:rPr>
              <w:t>模块</w:t>
            </w:r>
          </w:p>
          <w:p>
            <w:pPr>
              <w:spacing w:line="312" w:lineRule="auto"/>
              <w:rPr>
                <w:b/>
                <w:sz w:val="24"/>
              </w:rPr>
            </w:pPr>
            <w:r>
              <w:rPr>
                <w:rFonts w:hint="eastAsia"/>
                <w:b/>
                <w:sz w:val="24"/>
              </w:rPr>
              <w:t>3创新点</w:t>
            </w:r>
          </w:p>
          <w:p>
            <w:pPr>
              <w:spacing w:line="312" w:lineRule="auto"/>
              <w:rPr>
                <w:bCs/>
                <w:sz w:val="24"/>
              </w:rPr>
            </w:pPr>
            <w:r>
              <w:rPr>
                <w:bCs/>
                <w:sz w:val="24"/>
              </w:rPr>
              <w:t>（1）设计了任务注意力机制、混合损失函数和引用同方差不确定性解决肿瘤分割和分类</w:t>
            </w:r>
            <w:r>
              <w:rPr>
                <w:rFonts w:hint="eastAsia"/>
                <w:bCs/>
                <w:sz w:val="24"/>
              </w:rPr>
              <w:t>的</w:t>
            </w:r>
            <w:r>
              <w:rPr>
                <w:bCs/>
                <w:sz w:val="24"/>
              </w:rPr>
              <w:t>多任务学习</w:t>
            </w:r>
            <w:r>
              <w:rPr>
                <w:rFonts w:hint="eastAsia"/>
                <w:bCs/>
                <w:sz w:val="24"/>
              </w:rPr>
              <w:t>中</w:t>
            </w:r>
            <w:r>
              <w:rPr>
                <w:bCs/>
                <w:sz w:val="24"/>
              </w:rPr>
              <w:t>任务不平衡的问题。</w:t>
            </w:r>
          </w:p>
          <w:p>
            <w:pPr>
              <w:spacing w:line="312" w:lineRule="auto"/>
              <w:rPr>
                <w:color w:val="000000"/>
                <w:sz w:val="24"/>
              </w:rPr>
            </w:pPr>
            <w:r>
              <w:rPr>
                <w:bCs/>
                <w:sz w:val="24"/>
              </w:rPr>
              <w:t>（2）在3D医学影像中利用通道交换和双线性池化</w:t>
            </w:r>
            <w:r>
              <w:rPr>
                <w:rFonts w:hint="eastAsia"/>
                <w:bCs/>
                <w:sz w:val="24"/>
              </w:rPr>
              <w:t>方</w:t>
            </w:r>
            <w:r>
              <w:rPr>
                <w:bCs/>
                <w:sz w:val="24"/>
              </w:rPr>
              <w:t>法</w:t>
            </w:r>
            <w:r>
              <w:rPr>
                <w:rFonts w:hint="eastAsia"/>
                <w:bCs/>
                <w:sz w:val="24"/>
              </w:rPr>
              <w:t>进行</w:t>
            </w:r>
            <w:r>
              <w:rPr>
                <w:bCs/>
                <w:sz w:val="24"/>
              </w:rPr>
              <w:t>多模态MRI信息融合以解决</w:t>
            </w:r>
            <w:r>
              <w:rPr>
                <w:color w:val="000000"/>
                <w:sz w:val="24"/>
              </w:rPr>
              <w:t>多模态MRI信息无法充分利用的问题</w:t>
            </w:r>
          </w:p>
          <w:p>
            <w:pPr>
              <w:spacing w:line="312" w:lineRule="auto"/>
              <w:rPr>
                <w:b/>
                <w:sz w:val="24"/>
              </w:rPr>
            </w:pPr>
            <w:r>
              <w:rPr>
                <w:bCs/>
                <w:sz w:val="24"/>
              </w:rPr>
              <w:t>（3）设计了一种新的3D</w:t>
            </w:r>
            <w:r>
              <w:rPr>
                <w:color w:val="000000"/>
                <w:sz w:val="24"/>
              </w:rPr>
              <w:t>上下文感知网络</w:t>
            </w:r>
            <w:r>
              <w:rPr>
                <w:bCs/>
                <w:sz w:val="24"/>
              </w:rPr>
              <w:t>以解决多任务学习中肿瘤分割呈现的类内差异性和边界模糊性的问题。</w:t>
            </w:r>
          </w:p>
          <w:p>
            <w:pPr>
              <w:spacing w:line="312" w:lineRule="auto"/>
              <w:rPr>
                <w:b/>
                <w:sz w:val="24"/>
              </w:rPr>
            </w:pPr>
            <w:r>
              <w:rPr>
                <w:b/>
                <w:sz w:val="24"/>
              </w:rPr>
              <w:t>4预期研究的成果。</w:t>
            </w:r>
          </w:p>
          <w:p>
            <w:pPr>
              <w:spacing w:line="312" w:lineRule="auto"/>
              <w:rPr>
                <w:bCs/>
                <w:sz w:val="24"/>
              </w:rPr>
            </w:pPr>
            <w:r>
              <w:rPr>
                <w:bCs/>
                <w:sz w:val="24"/>
              </w:rPr>
              <w:t>（1）预期本课题结束时，对本课题所涉及的关键技术给出可行的解决方案。</w:t>
            </w:r>
          </w:p>
          <w:p>
            <w:pPr>
              <w:spacing w:line="312" w:lineRule="auto"/>
              <w:rPr>
                <w:bCs/>
                <w:sz w:val="24"/>
              </w:rPr>
            </w:pPr>
            <w:r>
              <w:rPr>
                <w:bCs/>
                <w:sz w:val="24"/>
              </w:rPr>
              <w:t>（2）发表EI及以上</w:t>
            </w:r>
            <w:r>
              <w:rPr>
                <w:rFonts w:hint="eastAsia"/>
                <w:bCs/>
                <w:sz w:val="24"/>
              </w:rPr>
              <w:t>高水平</w:t>
            </w:r>
            <w:r>
              <w:rPr>
                <w:bCs/>
                <w:sz w:val="24"/>
              </w:rPr>
              <w:t>论文1-2篇。</w:t>
            </w:r>
          </w:p>
          <w:p>
            <w:pPr>
              <w:spacing w:line="312" w:lineRule="auto"/>
              <w:rPr>
                <w:rFonts w:ascii="宋体" w:hAnsi="宋体"/>
                <w:b/>
                <w:szCs w:val="21"/>
              </w:rPr>
            </w:pPr>
            <w:r>
              <w:rPr>
                <w:bCs/>
                <w:sz w:val="24"/>
              </w:rPr>
              <w:t>（3）完成硕士学术论文。</w:t>
            </w:r>
          </w:p>
        </w:tc>
      </w:tr>
    </w:tbl>
    <w:p>
      <w:pPr>
        <w:ind w:firstLine="150" w:firstLineChars="50"/>
        <w:rPr>
          <w:rFonts w:ascii="宋体" w:hAnsi="宋体"/>
          <w:b/>
          <w:sz w:val="30"/>
          <w:szCs w:val="30"/>
        </w:rPr>
      </w:pPr>
      <w:r>
        <w:rPr>
          <w:rFonts w:eastAsia="黑体"/>
          <w:sz w:val="30"/>
          <w:szCs w:val="30"/>
        </w:rPr>
        <w:br w:type="page"/>
      </w:r>
      <w:r>
        <w:rPr>
          <w:rFonts w:hint="eastAsia" w:ascii="宋体" w:hAnsi="宋体"/>
          <w:b/>
          <w:sz w:val="30"/>
          <w:szCs w:val="30"/>
        </w:rPr>
        <w:t>四、研究基础</w:t>
      </w:r>
    </w:p>
    <w:tbl>
      <w:tblPr>
        <w:tblStyle w:val="8"/>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53" w:hRule="atLeast"/>
        </w:trPr>
        <w:tc>
          <w:tcPr>
            <w:tcW w:w="9072" w:type="dxa"/>
          </w:tcPr>
          <w:p>
            <w:pPr>
              <w:rPr>
                <w:b/>
                <w:szCs w:val="21"/>
              </w:rPr>
            </w:pPr>
            <w:r>
              <w:rPr>
                <w:b/>
                <w:szCs w:val="21"/>
              </w:rPr>
              <w:t>包括：1.学术条件；2.设施条件；2.经费预算。</w:t>
            </w:r>
          </w:p>
          <w:p>
            <w:pPr>
              <w:spacing w:line="312" w:lineRule="auto"/>
              <w:rPr>
                <w:b/>
                <w:sz w:val="24"/>
              </w:rPr>
            </w:pPr>
            <w:r>
              <w:rPr>
                <w:b/>
                <w:sz w:val="24"/>
              </w:rPr>
              <w:t>1学术条件</w:t>
            </w:r>
          </w:p>
          <w:p>
            <w:pPr>
              <w:spacing w:line="312" w:lineRule="auto"/>
              <w:ind w:firstLine="480" w:firstLineChars="200"/>
              <w:rPr>
                <w:sz w:val="24"/>
              </w:rPr>
            </w:pPr>
            <w:r>
              <w:rPr>
                <w:bCs/>
                <w:sz w:val="24"/>
              </w:rPr>
              <w:t>（1）通过查阅大量与本课题相关的参考文献，对将要进行的研究有清晰的理解和认识,</w:t>
            </w:r>
            <w:r>
              <w:rPr>
                <w:sz w:val="24"/>
              </w:rPr>
              <w:t>形成了本课题比较完善的研究思路。</w:t>
            </w:r>
          </w:p>
          <w:p>
            <w:pPr>
              <w:spacing w:line="312" w:lineRule="auto"/>
              <w:ind w:firstLine="480" w:firstLineChars="200"/>
              <w:rPr>
                <w:bCs/>
                <w:sz w:val="24"/>
              </w:rPr>
            </w:pPr>
            <w:r>
              <w:rPr>
                <w:bCs/>
                <w:sz w:val="24"/>
              </w:rPr>
              <w:t>（2）对提出的思路进行实验，验证其可行性，并针对不同的问题提出改进思路。</w:t>
            </w:r>
          </w:p>
          <w:p>
            <w:pPr>
              <w:spacing w:line="312" w:lineRule="auto"/>
              <w:ind w:firstLine="480" w:firstLineChars="200"/>
              <w:rPr>
                <w:bCs/>
                <w:sz w:val="24"/>
              </w:rPr>
            </w:pPr>
            <w:r>
              <w:rPr>
                <w:bCs/>
                <w:sz w:val="24"/>
              </w:rPr>
              <w:t>（3）熟练掌握Python和Pytorch。</w:t>
            </w:r>
          </w:p>
          <w:p>
            <w:pPr>
              <w:spacing w:line="312" w:lineRule="auto"/>
              <w:rPr>
                <w:b/>
                <w:sz w:val="24"/>
              </w:rPr>
            </w:pPr>
            <w:r>
              <w:rPr>
                <w:b/>
                <w:sz w:val="24"/>
              </w:rPr>
              <w:t>2设施条件</w:t>
            </w:r>
          </w:p>
          <w:tbl>
            <w:tblPr>
              <w:tblStyle w:val="8"/>
              <w:tblpPr w:leftFromText="180" w:rightFromText="180" w:vertAnchor="text" w:horzAnchor="page" w:tblpX="141" w:tblpY="1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2"/>
              <w:gridCol w:w="6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
                      <w:sz w:val="24"/>
                    </w:rPr>
                  </w:pPr>
                  <w:r>
                    <w:rPr>
                      <w:bCs/>
                      <w:sz w:val="24"/>
                    </w:rPr>
                    <w:t>CPU</w:t>
                  </w:r>
                </w:p>
              </w:tc>
              <w:tc>
                <w:tcPr>
                  <w:tcW w:w="6117" w:type="dxa"/>
                </w:tcPr>
                <w:p>
                  <w:pPr>
                    <w:spacing w:line="312" w:lineRule="auto"/>
                    <w:ind w:firstLine="440"/>
                    <w:jc w:val="center"/>
                    <w:rPr>
                      <w:b/>
                      <w:sz w:val="24"/>
                    </w:rPr>
                  </w:pPr>
                  <w:r>
                    <w:rPr>
                      <w:bCs/>
                      <w:sz w:val="24"/>
                    </w:rPr>
                    <w:t>Intel(R) Core(TM) i7-10700K CPU @ 3.80GHz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GPU</w:t>
                  </w:r>
                </w:p>
              </w:tc>
              <w:tc>
                <w:tcPr>
                  <w:tcW w:w="6117" w:type="dxa"/>
                </w:tcPr>
                <w:p>
                  <w:pPr>
                    <w:spacing w:line="312" w:lineRule="auto"/>
                    <w:ind w:firstLine="440"/>
                    <w:jc w:val="center"/>
                    <w:rPr>
                      <w:bCs/>
                      <w:sz w:val="24"/>
                    </w:rPr>
                  </w:pPr>
                  <w:r>
                    <w:rPr>
                      <w:bCs/>
                      <w:sz w:val="24"/>
                    </w:rPr>
                    <w:t>RTX3090*2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内存</w:t>
                  </w:r>
                </w:p>
              </w:tc>
              <w:tc>
                <w:tcPr>
                  <w:tcW w:w="6117" w:type="dxa"/>
                </w:tcPr>
                <w:p>
                  <w:pPr>
                    <w:spacing w:line="312" w:lineRule="auto"/>
                    <w:ind w:firstLine="440"/>
                    <w:jc w:val="center"/>
                    <w:rPr>
                      <w:bCs/>
                      <w:sz w:val="24"/>
                    </w:rPr>
                  </w:pPr>
                  <w:r>
                    <w:rPr>
                      <w:bCs/>
                      <w:sz w:val="24"/>
                    </w:rPr>
                    <w:t>32G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硬盘</w:t>
                  </w:r>
                </w:p>
              </w:tc>
              <w:tc>
                <w:tcPr>
                  <w:tcW w:w="6117" w:type="dxa"/>
                </w:tcPr>
                <w:p>
                  <w:pPr>
                    <w:spacing w:line="312" w:lineRule="auto"/>
                    <w:ind w:firstLine="440"/>
                    <w:jc w:val="center"/>
                    <w:rPr>
                      <w:bCs/>
                      <w:sz w:val="24"/>
                    </w:rPr>
                  </w:pPr>
                  <w:r>
                    <w:rPr>
                      <w:bCs/>
                      <w:sz w:val="24"/>
                    </w:rPr>
                    <w:t>4T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操作系统</w:t>
                  </w:r>
                </w:p>
              </w:tc>
              <w:tc>
                <w:tcPr>
                  <w:tcW w:w="6117" w:type="dxa"/>
                </w:tcPr>
                <w:p>
                  <w:pPr>
                    <w:spacing w:line="312" w:lineRule="auto"/>
                    <w:ind w:firstLine="440"/>
                    <w:jc w:val="center"/>
                    <w:rPr>
                      <w:bCs/>
                      <w:sz w:val="24"/>
                    </w:rPr>
                  </w:pPr>
                  <w:r>
                    <w:rPr>
                      <w:bCs/>
                      <w:sz w:val="24"/>
                    </w:rPr>
                    <w:t>Ubuntu 20.04.3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深度学习框架</w:t>
                  </w:r>
                </w:p>
              </w:tc>
              <w:tc>
                <w:tcPr>
                  <w:tcW w:w="6117" w:type="dxa"/>
                </w:tcPr>
                <w:p>
                  <w:pPr>
                    <w:spacing w:line="312" w:lineRule="auto"/>
                    <w:ind w:firstLine="440"/>
                    <w:jc w:val="center"/>
                    <w:rPr>
                      <w:bCs/>
                      <w:sz w:val="24"/>
                    </w:rPr>
                  </w:pPr>
                  <w:r>
                    <w:rPr>
                      <w:bCs/>
                      <w:sz w:val="24"/>
                    </w:rPr>
                    <w:t>Pytorch1.7.1</w:t>
                  </w:r>
                </w:p>
              </w:tc>
            </w:tr>
          </w:tbl>
          <w:p>
            <w:pPr>
              <w:spacing w:line="312" w:lineRule="auto"/>
              <w:rPr>
                <w:b/>
                <w:sz w:val="24"/>
              </w:rPr>
            </w:pPr>
            <w:r>
              <w:rPr>
                <w:b/>
                <w:sz w:val="24"/>
              </w:rPr>
              <w:t>3经费预算</w:t>
            </w:r>
          </w:p>
          <w:p>
            <w:pPr>
              <w:spacing w:line="312" w:lineRule="auto"/>
              <w:ind w:firstLine="480"/>
              <w:rPr>
                <w:bCs/>
                <w:sz w:val="24"/>
              </w:rPr>
            </w:pPr>
            <w:r>
              <w:rPr>
                <w:bCs/>
                <w:sz w:val="24"/>
              </w:rPr>
              <w:t>经费来源：项目经费、研究生经费</w:t>
            </w:r>
          </w:p>
          <w:p>
            <w:pPr>
              <w:spacing w:line="312" w:lineRule="auto"/>
              <w:ind w:firstLine="480"/>
              <w:rPr>
                <w:bCs/>
                <w:sz w:val="24"/>
              </w:rPr>
            </w:pPr>
            <w:r>
              <w:rPr>
                <w:bCs/>
                <w:sz w:val="24"/>
              </w:rPr>
              <w:t>开支预算：6000元</w:t>
            </w:r>
          </w:p>
          <w:tbl>
            <w:tblPr>
              <w:tblStyle w:val="8"/>
              <w:tblW w:w="8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160"/>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322" w:type="dxa"/>
                </w:tcPr>
                <w:p>
                  <w:pPr>
                    <w:spacing w:line="312" w:lineRule="auto"/>
                    <w:ind w:firstLine="480"/>
                    <w:jc w:val="center"/>
                    <w:rPr>
                      <w:sz w:val="24"/>
                    </w:rPr>
                  </w:pPr>
                  <w:r>
                    <w:rPr>
                      <w:sz w:val="24"/>
                    </w:rPr>
                    <w:t>支出科目</w:t>
                  </w:r>
                </w:p>
              </w:tc>
              <w:tc>
                <w:tcPr>
                  <w:tcW w:w="2160" w:type="dxa"/>
                </w:tcPr>
                <w:p>
                  <w:pPr>
                    <w:spacing w:line="312" w:lineRule="auto"/>
                    <w:ind w:firstLine="480"/>
                    <w:jc w:val="center"/>
                    <w:rPr>
                      <w:sz w:val="24"/>
                    </w:rPr>
                  </w:pPr>
                  <w:r>
                    <w:rPr>
                      <w:sz w:val="24"/>
                    </w:rPr>
                    <w:t>金额（元）</w:t>
                  </w:r>
                </w:p>
              </w:tc>
              <w:tc>
                <w:tcPr>
                  <w:tcW w:w="4186" w:type="dxa"/>
                </w:tcPr>
                <w:p>
                  <w:pPr>
                    <w:spacing w:line="312" w:lineRule="auto"/>
                    <w:ind w:firstLine="480"/>
                    <w:jc w:val="center"/>
                    <w:rPr>
                      <w:sz w:val="24"/>
                    </w:rPr>
                  </w:pPr>
                  <w:r>
                    <w:rPr>
                      <w:sz w:val="24"/>
                    </w:rPr>
                    <w:t>计算根据及理由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资料印刷费</w:t>
                  </w:r>
                </w:p>
              </w:tc>
              <w:tc>
                <w:tcPr>
                  <w:tcW w:w="2160" w:type="dxa"/>
                </w:tcPr>
                <w:p>
                  <w:pPr>
                    <w:spacing w:line="312" w:lineRule="auto"/>
                    <w:ind w:firstLine="480"/>
                    <w:jc w:val="center"/>
                    <w:rPr>
                      <w:sz w:val="24"/>
                    </w:rPr>
                  </w:pPr>
                  <w:r>
                    <w:rPr>
                      <w:sz w:val="24"/>
                    </w:rPr>
                    <w:t>400</w:t>
                  </w:r>
                </w:p>
              </w:tc>
              <w:tc>
                <w:tcPr>
                  <w:tcW w:w="4186" w:type="dxa"/>
                </w:tcPr>
                <w:p>
                  <w:pPr>
                    <w:spacing w:line="312" w:lineRule="auto"/>
                    <w:ind w:firstLine="480"/>
                    <w:jc w:val="center"/>
                    <w:rPr>
                      <w:sz w:val="24"/>
                    </w:rPr>
                  </w:pPr>
                  <w:r>
                    <w:rPr>
                      <w:sz w:val="24"/>
                    </w:rPr>
                    <w:t>购买书籍、打印复印费用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论文版面费</w:t>
                  </w:r>
                </w:p>
              </w:tc>
              <w:tc>
                <w:tcPr>
                  <w:tcW w:w="2160" w:type="dxa"/>
                </w:tcPr>
                <w:p>
                  <w:pPr>
                    <w:spacing w:line="312" w:lineRule="auto"/>
                    <w:ind w:firstLine="480"/>
                    <w:jc w:val="center"/>
                    <w:rPr>
                      <w:sz w:val="24"/>
                    </w:rPr>
                  </w:pPr>
                  <w:r>
                    <w:rPr>
                      <w:sz w:val="24"/>
                    </w:rPr>
                    <w:t>4000</w:t>
                  </w:r>
                </w:p>
              </w:tc>
              <w:tc>
                <w:tcPr>
                  <w:tcW w:w="4186" w:type="dxa"/>
                </w:tcPr>
                <w:p>
                  <w:pPr>
                    <w:spacing w:line="312" w:lineRule="auto"/>
                    <w:ind w:firstLine="480"/>
                    <w:jc w:val="center"/>
                    <w:rPr>
                      <w:sz w:val="24"/>
                    </w:rPr>
                  </w:pPr>
                  <w:r>
                    <w:rPr>
                      <w:sz w:val="24"/>
                    </w:rPr>
                    <w:t>发表论文所需相关费用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实验外协费</w:t>
                  </w:r>
                </w:p>
              </w:tc>
              <w:tc>
                <w:tcPr>
                  <w:tcW w:w="2160" w:type="dxa"/>
                </w:tcPr>
                <w:p>
                  <w:pPr>
                    <w:spacing w:line="312" w:lineRule="auto"/>
                    <w:ind w:firstLine="480"/>
                    <w:jc w:val="center"/>
                    <w:rPr>
                      <w:sz w:val="24"/>
                    </w:rPr>
                  </w:pPr>
                  <w:r>
                    <w:rPr>
                      <w:sz w:val="24"/>
                    </w:rPr>
                    <w:t>1000</w:t>
                  </w:r>
                </w:p>
              </w:tc>
              <w:tc>
                <w:tcPr>
                  <w:tcW w:w="4186" w:type="dxa"/>
                </w:tcPr>
                <w:p>
                  <w:pPr>
                    <w:spacing w:line="312" w:lineRule="auto"/>
                    <w:ind w:firstLine="480"/>
                    <w:jc w:val="center"/>
                    <w:rPr>
                      <w:sz w:val="24"/>
                    </w:rPr>
                  </w:pPr>
                  <w:r>
                    <w:rPr>
                      <w:sz w:val="24"/>
                    </w:rPr>
                    <w:t>外出参加会议差旅费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其他费用</w:t>
                  </w:r>
                </w:p>
              </w:tc>
              <w:tc>
                <w:tcPr>
                  <w:tcW w:w="2160" w:type="dxa"/>
                </w:tcPr>
                <w:p>
                  <w:pPr>
                    <w:spacing w:line="312" w:lineRule="auto"/>
                    <w:ind w:firstLine="480"/>
                    <w:jc w:val="center"/>
                    <w:rPr>
                      <w:sz w:val="24"/>
                    </w:rPr>
                  </w:pPr>
                  <w:r>
                    <w:rPr>
                      <w:sz w:val="24"/>
                    </w:rPr>
                    <w:t>600</w:t>
                  </w:r>
                </w:p>
              </w:tc>
              <w:tc>
                <w:tcPr>
                  <w:tcW w:w="4186" w:type="dxa"/>
                </w:tcPr>
                <w:p>
                  <w:pPr>
                    <w:spacing w:line="312" w:lineRule="auto"/>
                    <w:ind w:firstLine="480"/>
                    <w:jc w:val="center"/>
                    <w:rPr>
                      <w:sz w:val="24"/>
                    </w:rPr>
                  </w:pPr>
                  <w:r>
                    <w:rPr>
                      <w:sz w:val="24"/>
                    </w:rPr>
                    <w:t>实验所需其他费用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合计</w:t>
                  </w:r>
                </w:p>
              </w:tc>
              <w:tc>
                <w:tcPr>
                  <w:tcW w:w="2160" w:type="dxa"/>
                </w:tcPr>
                <w:p>
                  <w:pPr>
                    <w:spacing w:line="312" w:lineRule="auto"/>
                    <w:ind w:firstLine="480"/>
                    <w:jc w:val="center"/>
                    <w:rPr>
                      <w:sz w:val="24"/>
                    </w:rPr>
                  </w:pPr>
                  <w:r>
                    <w:rPr>
                      <w:sz w:val="24"/>
                    </w:rPr>
                    <w:t>6000</w:t>
                  </w:r>
                </w:p>
              </w:tc>
              <w:tc>
                <w:tcPr>
                  <w:tcW w:w="4186" w:type="dxa"/>
                </w:tcPr>
                <w:p>
                  <w:pPr>
                    <w:spacing w:line="312" w:lineRule="auto"/>
                    <w:ind w:firstLine="480"/>
                    <w:jc w:val="center"/>
                    <w:rPr>
                      <w:sz w:val="24"/>
                    </w:rPr>
                  </w:pPr>
                </w:p>
              </w:tc>
            </w:tr>
          </w:tbl>
          <w:p>
            <w:pPr>
              <w:rPr>
                <w:rFonts w:ascii="宋体" w:hAnsi="宋体"/>
                <w:b/>
                <w:szCs w:val="21"/>
              </w:rPr>
            </w:pPr>
          </w:p>
        </w:tc>
      </w:tr>
    </w:tbl>
    <w:p>
      <w:pPr>
        <w:ind w:firstLine="150" w:firstLineChars="50"/>
        <w:rPr>
          <w:rFonts w:ascii="宋体" w:hAnsi="宋体"/>
          <w:b/>
          <w:sz w:val="30"/>
          <w:szCs w:val="30"/>
        </w:rPr>
      </w:pPr>
      <w:r>
        <w:rPr>
          <w:rFonts w:eastAsia="黑体"/>
          <w:sz w:val="30"/>
          <w:szCs w:val="30"/>
        </w:rPr>
        <w:br w:type="page"/>
      </w:r>
      <w:r>
        <w:rPr>
          <w:rFonts w:hint="eastAsia" w:ascii="宋体" w:hAnsi="宋体"/>
          <w:b/>
          <w:sz w:val="30"/>
          <w:szCs w:val="30"/>
        </w:rPr>
        <w:t>五、论文工作计划</w:t>
      </w:r>
    </w:p>
    <w:tbl>
      <w:tblPr>
        <w:tblStyle w:val="8"/>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1"/>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rFonts w:ascii="宋体" w:hAnsi="宋体"/>
                <w:b/>
                <w:sz w:val="24"/>
              </w:rPr>
            </w:pPr>
            <w:r>
              <w:rPr>
                <w:rFonts w:hint="eastAsia" w:ascii="宋体" w:hAnsi="宋体"/>
                <w:b/>
                <w:sz w:val="24"/>
              </w:rPr>
              <w:t>起止时间</w:t>
            </w:r>
          </w:p>
        </w:tc>
        <w:tc>
          <w:tcPr>
            <w:tcW w:w="5811" w:type="dxa"/>
            <w:vAlign w:val="center"/>
          </w:tcPr>
          <w:p>
            <w:pPr>
              <w:spacing w:before="120" w:line="312" w:lineRule="auto"/>
              <w:jc w:val="center"/>
              <w:rPr>
                <w:rFonts w:ascii="宋体" w:hAnsi="宋体"/>
                <w:b/>
                <w:sz w:val="24"/>
              </w:rPr>
            </w:pPr>
            <w:r>
              <w:rPr>
                <w:rFonts w:hint="eastAsia" w:ascii="宋体" w:hAnsi="宋体"/>
                <w:b/>
                <w:sz w:val="24"/>
              </w:rPr>
              <w:t>工作内容及完成指标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2022年09月 - 2022年1</w:t>
            </w:r>
            <w:r>
              <w:rPr>
                <w:sz w:val="24"/>
              </w:rPr>
              <w:t>2</w:t>
            </w:r>
            <w:r>
              <w:rPr>
                <w:rFonts w:hint="eastAsia"/>
                <w:sz w:val="24"/>
              </w:rPr>
              <w:t>月</w:t>
            </w:r>
          </w:p>
        </w:tc>
        <w:tc>
          <w:tcPr>
            <w:tcW w:w="5811" w:type="dxa"/>
          </w:tcPr>
          <w:p>
            <w:pPr>
              <w:spacing w:before="120" w:line="312" w:lineRule="auto"/>
              <w:jc w:val="center"/>
              <w:rPr>
                <w:sz w:val="24"/>
              </w:rPr>
            </w:pPr>
            <w:r>
              <w:rPr>
                <w:rFonts w:hint="eastAsia"/>
                <w:sz w:val="24"/>
              </w:rPr>
              <w:t>数据预处理、构建多任务学习中任务不平衡算法模型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2022年12月 - 2023年01月</w:t>
            </w:r>
          </w:p>
        </w:tc>
        <w:tc>
          <w:tcPr>
            <w:tcW w:w="5811" w:type="dxa"/>
          </w:tcPr>
          <w:p>
            <w:pPr>
              <w:spacing w:before="120" w:line="312" w:lineRule="auto"/>
              <w:jc w:val="center"/>
              <w:rPr>
                <w:sz w:val="24"/>
              </w:rPr>
            </w:pPr>
            <w:r>
              <w:rPr>
                <w:rFonts w:hint="eastAsia"/>
                <w:sz w:val="24"/>
              </w:rPr>
              <w:t>撰写肿瘤分割和分类的多任务学习算法论文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2</w:t>
            </w:r>
            <w:r>
              <w:rPr>
                <w:rFonts w:hint="eastAsia"/>
                <w:sz w:val="24"/>
              </w:rPr>
              <w:t>月 - 2023年0</w:t>
            </w:r>
            <w:r>
              <w:rPr>
                <w:sz w:val="24"/>
              </w:rPr>
              <w:t>5</w:t>
            </w:r>
            <w:r>
              <w:rPr>
                <w:rFonts w:hint="eastAsia"/>
                <w:sz w:val="24"/>
              </w:rPr>
              <w:t>月</w:t>
            </w:r>
          </w:p>
        </w:tc>
        <w:tc>
          <w:tcPr>
            <w:tcW w:w="5811" w:type="dxa"/>
          </w:tcPr>
          <w:p>
            <w:pPr>
              <w:spacing w:before="120" w:line="312" w:lineRule="auto"/>
              <w:jc w:val="center"/>
              <w:rPr>
                <w:sz w:val="24"/>
              </w:rPr>
            </w:pPr>
            <w:r>
              <w:rPr>
                <w:rFonts w:hint="eastAsia"/>
                <w:sz w:val="24"/>
              </w:rPr>
              <w:t>实现胶质瘤多模态融合算法研究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5</w:t>
            </w:r>
            <w:r>
              <w:rPr>
                <w:rFonts w:hint="eastAsia"/>
                <w:sz w:val="24"/>
              </w:rPr>
              <w:t>月 - 2023年0</w:t>
            </w:r>
            <w:r>
              <w:rPr>
                <w:sz w:val="24"/>
              </w:rPr>
              <w:t>6</w:t>
            </w:r>
            <w:r>
              <w:rPr>
                <w:rFonts w:hint="eastAsia"/>
                <w:sz w:val="24"/>
              </w:rPr>
              <w:t>月</w:t>
            </w:r>
          </w:p>
        </w:tc>
        <w:tc>
          <w:tcPr>
            <w:tcW w:w="5811" w:type="dxa"/>
          </w:tcPr>
          <w:p>
            <w:pPr>
              <w:spacing w:before="120" w:line="312" w:lineRule="auto"/>
              <w:jc w:val="center"/>
              <w:rPr>
                <w:sz w:val="24"/>
              </w:rPr>
            </w:pPr>
            <w:r>
              <w:rPr>
                <w:rFonts w:hint="eastAsia"/>
                <w:sz w:val="24"/>
              </w:rPr>
              <w:t>撰写多模态融合算法论文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7</w:t>
            </w:r>
            <w:r>
              <w:rPr>
                <w:rFonts w:hint="eastAsia"/>
                <w:sz w:val="24"/>
              </w:rPr>
              <w:t>月 - 2023年</w:t>
            </w:r>
            <w:r>
              <w:rPr>
                <w:sz w:val="24"/>
              </w:rPr>
              <w:t>09</w:t>
            </w:r>
            <w:r>
              <w:rPr>
                <w:rFonts w:hint="eastAsia"/>
                <w:sz w:val="24"/>
              </w:rPr>
              <w:t>月</w:t>
            </w:r>
          </w:p>
        </w:tc>
        <w:tc>
          <w:tcPr>
            <w:tcW w:w="5811" w:type="dxa"/>
          </w:tcPr>
          <w:p>
            <w:pPr>
              <w:spacing w:before="120" w:line="312" w:lineRule="auto"/>
              <w:jc w:val="center"/>
              <w:rPr>
                <w:sz w:val="24"/>
              </w:rPr>
            </w:pPr>
            <w:r>
              <w:rPr>
                <w:rFonts w:hint="eastAsia"/>
                <w:sz w:val="24"/>
              </w:rPr>
              <w:t>实现分割任务中类内差异性和边界模糊的算法研究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2023年1</w:t>
            </w:r>
            <w:r>
              <w:rPr>
                <w:sz w:val="24"/>
              </w:rPr>
              <w:t>0</w:t>
            </w:r>
            <w:r>
              <w:rPr>
                <w:rFonts w:hint="eastAsia"/>
                <w:sz w:val="24"/>
              </w:rPr>
              <w:t>月 - 202</w:t>
            </w:r>
            <w:r>
              <w:rPr>
                <w:sz w:val="24"/>
              </w:rPr>
              <w:t>3</w:t>
            </w:r>
            <w:r>
              <w:rPr>
                <w:rFonts w:hint="eastAsia"/>
                <w:sz w:val="24"/>
              </w:rPr>
              <w:t>年</w:t>
            </w:r>
            <w:r>
              <w:rPr>
                <w:sz w:val="24"/>
              </w:rPr>
              <w:t>11</w:t>
            </w:r>
            <w:r>
              <w:rPr>
                <w:rFonts w:hint="eastAsia"/>
                <w:sz w:val="24"/>
              </w:rPr>
              <w:t>月</w:t>
            </w:r>
          </w:p>
        </w:tc>
        <w:tc>
          <w:tcPr>
            <w:tcW w:w="5811" w:type="dxa"/>
          </w:tcPr>
          <w:p>
            <w:pPr>
              <w:spacing w:before="120" w:line="312" w:lineRule="auto"/>
              <w:jc w:val="center"/>
              <w:rPr>
                <w:sz w:val="24"/>
              </w:rPr>
            </w:pPr>
            <w:r>
              <w:rPr>
                <w:rFonts w:hint="eastAsia"/>
                <w:sz w:val="24"/>
              </w:rPr>
              <w:t>对算法做进一步改进，对实验结果方法进行归纳整理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w:t>
            </w:r>
            <w:r>
              <w:rPr>
                <w:sz w:val="24"/>
              </w:rPr>
              <w:t>3</w:t>
            </w:r>
            <w:r>
              <w:rPr>
                <w:rFonts w:hint="eastAsia"/>
                <w:sz w:val="24"/>
              </w:rPr>
              <w:t>年</w:t>
            </w:r>
            <w:r>
              <w:rPr>
                <w:sz w:val="24"/>
              </w:rPr>
              <w:t>12</w:t>
            </w:r>
            <w:r>
              <w:rPr>
                <w:rFonts w:hint="eastAsia"/>
                <w:sz w:val="24"/>
              </w:rPr>
              <w:t>月 - 2024年0</w:t>
            </w:r>
            <w:r>
              <w:rPr>
                <w:sz w:val="24"/>
              </w:rPr>
              <w:t>6</w:t>
            </w:r>
            <w:r>
              <w:rPr>
                <w:rFonts w:hint="eastAsia"/>
                <w:sz w:val="24"/>
              </w:rPr>
              <w:t>月</w:t>
            </w:r>
          </w:p>
        </w:tc>
        <w:tc>
          <w:tcPr>
            <w:tcW w:w="5811" w:type="dxa"/>
          </w:tcPr>
          <w:p>
            <w:pPr>
              <w:spacing w:before="120" w:line="312" w:lineRule="auto"/>
              <w:jc w:val="center"/>
              <w:rPr>
                <w:sz w:val="24"/>
              </w:rPr>
            </w:pPr>
            <w:r>
              <w:rPr>
                <w:rFonts w:hint="eastAsia"/>
                <w:sz w:val="24"/>
              </w:rPr>
              <w:t>撰写学位大论文，准备答辩</w:t>
            </w:r>
          </w:p>
        </w:tc>
      </w:tr>
    </w:tbl>
    <w:p>
      <w:pPr>
        <w:spacing w:before="120" w:line="312" w:lineRule="auto"/>
        <w:rPr>
          <w:rFonts w:ascii="宋体" w:hAnsi="宋体"/>
          <w:b/>
          <w:sz w:val="30"/>
        </w:rPr>
      </w:pPr>
      <w:r>
        <w:rPr>
          <w:rFonts w:ascii="宋体" w:hAnsi="宋体"/>
          <w:b/>
          <w:sz w:val="30"/>
        </w:rPr>
        <w:t>六、</w:t>
      </w:r>
      <w:r>
        <w:rPr>
          <w:rFonts w:hint="eastAsia" w:ascii="宋体" w:hAnsi="宋体"/>
          <w:b/>
          <w:sz w:val="30"/>
        </w:rPr>
        <w:t>导师</w:t>
      </w:r>
      <w:r>
        <w:rPr>
          <w:rFonts w:ascii="宋体" w:hAnsi="宋体"/>
          <w:b/>
          <w:sz w:val="30"/>
        </w:rPr>
        <w:t>评审意见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3" w:hRule="atLeast"/>
        </w:trPr>
        <w:tc>
          <w:tcPr>
            <w:tcW w:w="9199" w:type="dxa"/>
          </w:tcPr>
          <w:p>
            <w:pPr>
              <w:spacing w:line="312" w:lineRule="auto"/>
              <w:rPr>
                <w:rFonts w:ascii="宋体" w:hAnsi="宋体"/>
                <w:b/>
                <w:szCs w:val="21"/>
              </w:rPr>
            </w:pPr>
            <w:r>
              <w:rPr>
                <w:rFonts w:hint="eastAsia" w:ascii="宋体" w:hAnsi="宋体"/>
                <w:b/>
                <w:sz w:val="24"/>
              </w:rPr>
              <w:t>导师意见</w:t>
            </w:r>
            <w:r>
              <w:rPr>
                <w:rFonts w:hint="eastAsia" w:ascii="宋体" w:hAnsi="宋体"/>
                <w:b/>
                <w:szCs w:val="21"/>
              </w:rPr>
              <w:t>（</w:t>
            </w:r>
            <w:r>
              <w:rPr>
                <w:rFonts w:ascii="宋体" w:hAnsi="宋体"/>
                <w:b/>
                <w:szCs w:val="21"/>
              </w:rPr>
              <w:t>导师</w:t>
            </w:r>
            <w:r>
              <w:rPr>
                <w:rFonts w:hint="eastAsia" w:ascii="宋体" w:hAnsi="宋体"/>
                <w:b/>
                <w:szCs w:val="21"/>
              </w:rPr>
              <w:t>就研究生对国内外研究现状的了解情况、选题的实际应用价值、研究方法、研究手段及论文工作计划的评价）：</w:t>
            </w:r>
          </w:p>
          <w:p>
            <w:pPr>
              <w:spacing w:line="312" w:lineRule="auto"/>
              <w:ind w:firstLine="480" w:firstLineChars="200"/>
              <w:rPr>
                <w:rFonts w:ascii="宋体" w:hAnsi="宋体"/>
                <w:sz w:val="24"/>
              </w:rPr>
            </w:pPr>
            <w:r>
              <w:rPr>
                <w:rFonts w:hint="eastAsia" w:ascii="宋体" w:hAnsi="宋体"/>
                <w:sz w:val="24"/>
              </w:rPr>
              <w:t>该课题研究了多任务和多模态MRI对肿瘤分割和分类的算法研究，较为新颖，具有一定的研究价值和研究意义。该生对课题进行了详尽地调研，参考了大量的文献资料，研究内容目标明确，设计思路清晰，研究方法与手段合理可行，难度适中，工作量饱满，研究计划安排合适。符合本校研究生开题要求，同意开题。</w:t>
            </w: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after="624" w:afterLines="200" w:line="312" w:lineRule="auto"/>
              <w:rPr>
                <w:b/>
                <w:sz w:val="24"/>
              </w:rPr>
            </w:pPr>
            <w:r>
              <w:rPr>
                <w:rFonts w:hint="eastAsia"/>
                <w:b/>
                <w:sz w:val="24"/>
              </w:rPr>
              <w:t xml:space="preserve">              校内导师签字：                              年   月   日</w:t>
            </w:r>
          </w:p>
          <w:p>
            <w:pPr>
              <w:spacing w:after="156" w:afterLines="50" w:line="312" w:lineRule="auto"/>
              <w:rPr>
                <w:rFonts w:ascii="宋体" w:hAnsi="宋体"/>
                <w:szCs w:val="21"/>
              </w:rPr>
            </w:pPr>
            <w:r>
              <w:rPr>
                <w:rFonts w:hint="eastAsia"/>
                <w:b/>
                <w:sz w:val="24"/>
              </w:rPr>
              <w:t xml:space="preserve">              校外导师签字：         </w:t>
            </w:r>
            <w:r>
              <w:rPr>
                <w:b/>
                <w:sz w:val="24"/>
              </w:rPr>
              <w:t xml:space="preserve">       </w:t>
            </w:r>
            <w:r>
              <w:rPr>
                <w:rFonts w:hint="eastAsia"/>
                <w:b/>
                <w:sz w:val="24"/>
              </w:rPr>
              <w:t xml:space="preserve">            </w:t>
            </w:r>
            <w:r>
              <w:rPr>
                <w:b/>
                <w:sz w:val="24"/>
              </w:rPr>
              <w:t xml:space="preserve">  </w:t>
            </w:r>
            <w:r>
              <w:rPr>
                <w:rFonts w:hint="eastAsia"/>
                <w:b/>
                <w:sz w:val="24"/>
              </w:rPr>
              <w:t>年   月   日</w:t>
            </w:r>
          </w:p>
        </w:tc>
      </w:tr>
    </w:tbl>
    <w:p>
      <w:pPr>
        <w:spacing w:line="312" w:lineRule="auto"/>
        <w:rPr>
          <w:rFonts w:eastAsia="黑体"/>
          <w:sz w:val="24"/>
        </w:rPr>
      </w:pPr>
      <w:r>
        <w:rPr>
          <w:rFonts w:eastAsia="黑体"/>
          <w:sz w:val="30"/>
        </w:rPr>
        <w:br w:type="page"/>
      </w:r>
      <w:r>
        <w:rPr>
          <w:rFonts w:hint="eastAsia" w:ascii="宋体" w:hAnsi="宋体"/>
          <w:b/>
          <w:sz w:val="30"/>
        </w:rPr>
        <w:t>七、评审小组和学院意见</w:t>
      </w:r>
    </w:p>
    <w:tbl>
      <w:tblPr>
        <w:tblStyle w:val="8"/>
        <w:tblW w:w="91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1057"/>
        <w:gridCol w:w="1497"/>
        <w:gridCol w:w="2685"/>
        <w:gridCol w:w="993"/>
        <w:gridCol w:w="992"/>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702" w:type="dxa"/>
            <w:vAlign w:val="center"/>
          </w:tcPr>
          <w:p>
            <w:pPr>
              <w:spacing w:line="312" w:lineRule="auto"/>
              <w:jc w:val="center"/>
              <w:rPr>
                <w:rFonts w:ascii="宋体" w:hAnsi="宋体"/>
                <w:sz w:val="24"/>
              </w:rPr>
            </w:pPr>
          </w:p>
        </w:tc>
        <w:tc>
          <w:tcPr>
            <w:tcW w:w="1057" w:type="dxa"/>
            <w:vAlign w:val="center"/>
          </w:tcPr>
          <w:p>
            <w:pPr>
              <w:spacing w:line="312" w:lineRule="auto"/>
              <w:jc w:val="center"/>
              <w:rPr>
                <w:rFonts w:ascii="宋体" w:hAnsi="宋体"/>
                <w:b/>
                <w:sz w:val="24"/>
              </w:rPr>
            </w:pPr>
            <w:r>
              <w:rPr>
                <w:rFonts w:ascii="宋体" w:hAnsi="宋体"/>
                <w:b/>
                <w:sz w:val="24"/>
              </w:rPr>
              <w:t>姓</w:t>
            </w:r>
            <w:r>
              <w:rPr>
                <w:rFonts w:hint="eastAsia" w:ascii="宋体" w:hAnsi="宋体"/>
                <w:b/>
                <w:sz w:val="24"/>
              </w:rPr>
              <w:t xml:space="preserve"> </w:t>
            </w:r>
            <w:r>
              <w:rPr>
                <w:rFonts w:ascii="宋体" w:hAnsi="宋体"/>
                <w:b/>
                <w:sz w:val="24"/>
              </w:rPr>
              <w:t>名</w:t>
            </w:r>
          </w:p>
        </w:tc>
        <w:tc>
          <w:tcPr>
            <w:tcW w:w="1497" w:type="dxa"/>
            <w:vAlign w:val="center"/>
          </w:tcPr>
          <w:p>
            <w:pPr>
              <w:spacing w:line="312" w:lineRule="auto"/>
              <w:jc w:val="center"/>
              <w:rPr>
                <w:rFonts w:ascii="宋体" w:hAnsi="宋体"/>
                <w:b/>
                <w:sz w:val="24"/>
              </w:rPr>
            </w:pPr>
            <w:r>
              <w:rPr>
                <w:rFonts w:ascii="宋体" w:hAnsi="宋体"/>
                <w:b/>
                <w:sz w:val="24"/>
              </w:rPr>
              <w:t>职</w:t>
            </w:r>
            <w:r>
              <w:rPr>
                <w:rFonts w:hint="eastAsia" w:ascii="宋体" w:hAnsi="宋体"/>
                <w:b/>
                <w:sz w:val="24"/>
              </w:rPr>
              <w:t xml:space="preserve"> </w:t>
            </w:r>
            <w:r>
              <w:rPr>
                <w:rFonts w:ascii="宋体" w:hAnsi="宋体"/>
                <w:b/>
                <w:sz w:val="24"/>
              </w:rPr>
              <w:t>称</w:t>
            </w:r>
          </w:p>
        </w:tc>
        <w:tc>
          <w:tcPr>
            <w:tcW w:w="2685" w:type="dxa"/>
            <w:vAlign w:val="center"/>
          </w:tcPr>
          <w:p>
            <w:pPr>
              <w:spacing w:line="312" w:lineRule="auto"/>
              <w:jc w:val="center"/>
              <w:rPr>
                <w:rFonts w:ascii="宋体" w:hAnsi="宋体"/>
                <w:b/>
                <w:sz w:val="24"/>
              </w:rPr>
            </w:pPr>
            <w:r>
              <w:rPr>
                <w:rFonts w:hint="eastAsia" w:ascii="宋体" w:hAnsi="宋体"/>
                <w:b/>
                <w:sz w:val="24"/>
              </w:rPr>
              <w:t>专业</w:t>
            </w:r>
          </w:p>
        </w:tc>
        <w:tc>
          <w:tcPr>
            <w:tcW w:w="993" w:type="dxa"/>
            <w:vAlign w:val="center"/>
          </w:tcPr>
          <w:p>
            <w:pPr>
              <w:spacing w:line="312" w:lineRule="auto"/>
              <w:jc w:val="center"/>
              <w:rPr>
                <w:rFonts w:ascii="宋体" w:hAnsi="宋体"/>
                <w:b/>
                <w:sz w:val="24"/>
              </w:rPr>
            </w:pPr>
            <w:r>
              <w:rPr>
                <w:rFonts w:hint="eastAsia" w:ascii="宋体" w:hAnsi="宋体"/>
                <w:b/>
                <w:sz w:val="24"/>
              </w:rPr>
              <w:t>成 绩</w:t>
            </w:r>
          </w:p>
        </w:tc>
        <w:tc>
          <w:tcPr>
            <w:tcW w:w="992" w:type="dxa"/>
            <w:vAlign w:val="center"/>
          </w:tcPr>
          <w:p>
            <w:pPr>
              <w:spacing w:line="312" w:lineRule="auto"/>
              <w:jc w:val="center"/>
              <w:rPr>
                <w:rFonts w:ascii="宋体" w:hAnsi="宋体"/>
                <w:b/>
                <w:sz w:val="24"/>
              </w:rPr>
            </w:pPr>
            <w:r>
              <w:rPr>
                <w:rFonts w:hint="eastAsia" w:ascii="宋体" w:hAnsi="宋体"/>
                <w:b/>
                <w:sz w:val="24"/>
              </w:rPr>
              <w:t>结 论</w:t>
            </w:r>
          </w:p>
        </w:tc>
        <w:tc>
          <w:tcPr>
            <w:tcW w:w="1236" w:type="dxa"/>
            <w:vAlign w:val="center"/>
          </w:tcPr>
          <w:p>
            <w:pPr>
              <w:spacing w:line="312" w:lineRule="auto"/>
              <w:jc w:val="center"/>
              <w:rPr>
                <w:rFonts w:ascii="宋体" w:hAnsi="宋体"/>
                <w:b/>
                <w:sz w:val="24"/>
              </w:rPr>
            </w:pPr>
            <w:r>
              <w:rPr>
                <w:rFonts w:ascii="宋体" w:hAnsi="宋体"/>
                <w:b/>
                <w:sz w:val="24"/>
              </w:rPr>
              <w:t>签</w:t>
            </w:r>
            <w:r>
              <w:rPr>
                <w:rFonts w:hint="eastAsia" w:ascii="宋体" w:hAnsi="宋体"/>
                <w:b/>
                <w:sz w:val="24"/>
              </w:rPr>
              <w:t xml:space="preserve"> </w:t>
            </w:r>
            <w:r>
              <w:rPr>
                <w:rFonts w:ascii="宋体" w:hAnsi="宋体"/>
                <w:b/>
                <w:sz w:val="24"/>
              </w:rPr>
              <w:t>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702" w:type="dxa"/>
            <w:vAlign w:val="center"/>
          </w:tcPr>
          <w:p>
            <w:pPr>
              <w:autoSpaceDE w:val="0"/>
              <w:autoSpaceDN w:val="0"/>
              <w:adjustRightInd w:val="0"/>
              <w:jc w:val="center"/>
              <w:rPr>
                <w:rFonts w:ascii="宋体" w:hAnsi="宋体"/>
                <w:b/>
                <w:sz w:val="24"/>
              </w:rPr>
            </w:pPr>
            <w:r>
              <w:rPr>
                <w:rFonts w:hint="eastAsia" w:ascii="宋体" w:hAnsi="宋体"/>
                <w:b/>
                <w:sz w:val="24"/>
              </w:rPr>
              <w:t>组长</w:t>
            </w:r>
          </w:p>
        </w:tc>
        <w:tc>
          <w:tcPr>
            <w:tcW w:w="1057" w:type="dxa"/>
          </w:tcPr>
          <w:p>
            <w:pPr>
              <w:spacing w:before="120" w:line="312" w:lineRule="auto"/>
              <w:jc w:val="center"/>
              <w:rPr>
                <w:rFonts w:ascii="宋体" w:hAnsi="宋体"/>
                <w:sz w:val="24"/>
              </w:rPr>
            </w:pPr>
            <w:r>
              <w:rPr>
                <w:rFonts w:hint="eastAsia" w:ascii="宋体" w:hAnsi="宋体"/>
                <w:sz w:val="24"/>
              </w:rPr>
              <w:t>李云红</w:t>
            </w:r>
          </w:p>
        </w:tc>
        <w:tc>
          <w:tcPr>
            <w:tcW w:w="1497" w:type="dxa"/>
            <w:vAlign w:val="center"/>
          </w:tcPr>
          <w:p>
            <w:pPr>
              <w:spacing w:line="312" w:lineRule="auto"/>
              <w:jc w:val="center"/>
              <w:rPr>
                <w:rFonts w:ascii="宋体" w:hAnsi="宋体"/>
                <w:sz w:val="24"/>
              </w:rPr>
            </w:pPr>
            <w:r>
              <w:rPr>
                <w:rFonts w:hint="eastAsia" w:ascii="宋体" w:hAnsi="宋体"/>
                <w:sz w:val="24"/>
              </w:rPr>
              <w:t>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702" w:type="dxa"/>
            <w:vMerge w:val="restart"/>
            <w:vAlign w:val="center"/>
          </w:tcPr>
          <w:p>
            <w:pPr>
              <w:spacing w:line="312" w:lineRule="auto"/>
              <w:jc w:val="center"/>
              <w:rPr>
                <w:rFonts w:ascii="宋体" w:hAnsi="宋体"/>
                <w:b/>
                <w:sz w:val="24"/>
              </w:rPr>
            </w:pPr>
            <w:r>
              <w:rPr>
                <w:rFonts w:ascii="宋体" w:hAnsi="宋体"/>
                <w:b/>
                <w:sz w:val="24"/>
              </w:rPr>
              <w:t>成员</w:t>
            </w:r>
          </w:p>
        </w:tc>
        <w:tc>
          <w:tcPr>
            <w:tcW w:w="1057" w:type="dxa"/>
            <w:vAlign w:val="center"/>
          </w:tcPr>
          <w:p>
            <w:pPr>
              <w:spacing w:line="312" w:lineRule="auto"/>
              <w:jc w:val="center"/>
              <w:rPr>
                <w:rFonts w:ascii="宋体" w:hAnsi="宋体"/>
                <w:sz w:val="24"/>
              </w:rPr>
            </w:pPr>
            <w:r>
              <w:rPr>
                <w:rFonts w:hint="eastAsia" w:ascii="宋体" w:hAnsi="宋体"/>
                <w:sz w:val="24"/>
              </w:rPr>
              <w:t>杜世龙</w:t>
            </w:r>
          </w:p>
        </w:tc>
        <w:tc>
          <w:tcPr>
            <w:tcW w:w="1497" w:type="dxa"/>
            <w:vAlign w:val="center"/>
          </w:tcPr>
          <w:p>
            <w:pPr>
              <w:spacing w:line="312" w:lineRule="auto"/>
              <w:jc w:val="center"/>
              <w:rPr>
                <w:rFonts w:ascii="宋体" w:hAnsi="宋体"/>
                <w:sz w:val="24"/>
              </w:rPr>
            </w:pPr>
            <w:r>
              <w:rPr>
                <w:rFonts w:hint="eastAsia" w:ascii="宋体" w:hAnsi="宋体"/>
                <w:sz w:val="24"/>
              </w:rPr>
              <w:t>高工</w:t>
            </w:r>
          </w:p>
        </w:tc>
        <w:tc>
          <w:tcPr>
            <w:tcW w:w="2685" w:type="dxa"/>
            <w:vAlign w:val="center"/>
          </w:tcPr>
          <w:p>
            <w:pPr>
              <w:spacing w:line="312" w:lineRule="auto"/>
              <w:jc w:val="center"/>
              <w:rPr>
                <w:rFonts w:ascii="宋体" w:hAnsi="宋体"/>
                <w:sz w:val="24"/>
              </w:rPr>
            </w:pPr>
            <w:r>
              <w:rPr>
                <w:rFonts w:hint="eastAsia" w:ascii="宋体" w:hAnsi="宋体"/>
                <w:sz w:val="24"/>
              </w:rPr>
              <w:t>图像处理</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陈宁</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苏雪平</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魏炜</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陈锦妮</w:t>
            </w:r>
          </w:p>
        </w:tc>
        <w:tc>
          <w:tcPr>
            <w:tcW w:w="1497" w:type="dxa"/>
            <w:vAlign w:val="center"/>
          </w:tcPr>
          <w:p>
            <w:pPr>
              <w:spacing w:line="312" w:lineRule="auto"/>
              <w:jc w:val="center"/>
              <w:rPr>
                <w:rFonts w:ascii="宋体" w:hAnsi="宋体"/>
                <w:sz w:val="24"/>
              </w:rPr>
            </w:pPr>
            <w:r>
              <w:rPr>
                <w:rFonts w:hint="eastAsia" w:ascii="宋体" w:hAnsi="宋体"/>
                <w:sz w:val="24"/>
              </w:rPr>
              <w:t>讲师</w:t>
            </w:r>
          </w:p>
        </w:tc>
        <w:tc>
          <w:tcPr>
            <w:tcW w:w="2685" w:type="dxa"/>
            <w:vAlign w:val="center"/>
          </w:tcPr>
          <w:p>
            <w:pPr>
              <w:spacing w:line="312" w:lineRule="auto"/>
              <w:jc w:val="center"/>
              <w:rPr>
                <w:rFonts w:ascii="宋体" w:hAnsi="宋体"/>
                <w:sz w:val="24"/>
              </w:rPr>
            </w:pPr>
            <w:r>
              <w:rPr>
                <w:rFonts w:hint="eastAsia" w:ascii="宋体" w:hAnsi="宋体"/>
                <w:sz w:val="24"/>
              </w:rPr>
              <w:t>信号与信息处理</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1759" w:type="dxa"/>
            <w:gridSpan w:val="2"/>
            <w:vAlign w:val="center"/>
          </w:tcPr>
          <w:p>
            <w:pPr>
              <w:spacing w:line="312" w:lineRule="auto"/>
              <w:jc w:val="center"/>
              <w:rPr>
                <w:b/>
                <w:sz w:val="24"/>
              </w:rPr>
            </w:pPr>
            <w:r>
              <w:rPr>
                <w:rFonts w:hint="eastAsia"/>
                <w:b/>
                <w:sz w:val="24"/>
              </w:rPr>
              <w:t>总成绩</w:t>
            </w:r>
          </w:p>
        </w:tc>
        <w:tc>
          <w:tcPr>
            <w:tcW w:w="7403" w:type="dxa"/>
            <w:gridSpan w:val="5"/>
            <w:vAlign w:val="center"/>
          </w:tcPr>
          <w:p>
            <w:pPr>
              <w:spacing w:line="312" w:lineRule="auto"/>
              <w:jc w:val="center"/>
              <w:rPr>
                <w:rFonts w:eastAsia="黑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6" w:hRule="atLeast"/>
          <w:jc w:val="center"/>
        </w:trPr>
        <w:tc>
          <w:tcPr>
            <w:tcW w:w="9162" w:type="dxa"/>
            <w:gridSpan w:val="7"/>
          </w:tcPr>
          <w:p>
            <w:pPr>
              <w:spacing w:before="120" w:line="312" w:lineRule="auto"/>
              <w:rPr>
                <w:rFonts w:ascii="宋体" w:hAnsi="宋体"/>
                <w:szCs w:val="21"/>
              </w:rPr>
            </w:pPr>
            <w:r>
              <w:rPr>
                <w:rFonts w:ascii="宋体" w:hAnsi="宋体"/>
                <w:b/>
                <w:sz w:val="24"/>
              </w:rPr>
              <w:t>评审小组审查结论</w:t>
            </w:r>
            <w:r>
              <w:rPr>
                <w:rFonts w:ascii="宋体" w:hAnsi="宋体"/>
                <w:b/>
                <w:szCs w:val="21"/>
              </w:rPr>
              <w:t>（论文选题</w:t>
            </w:r>
            <w:r>
              <w:rPr>
                <w:rFonts w:hint="eastAsia" w:ascii="宋体" w:hAnsi="宋体"/>
                <w:b/>
                <w:szCs w:val="21"/>
              </w:rPr>
              <w:t>是否有实际应用价值，研究</w:t>
            </w:r>
            <w:r>
              <w:rPr>
                <w:rFonts w:ascii="宋体" w:hAnsi="宋体"/>
                <w:b/>
                <w:szCs w:val="21"/>
              </w:rPr>
              <w:t>的难度与工作量是否适当、研究方案的可行性、是否同意论文</w:t>
            </w:r>
            <w:r>
              <w:rPr>
                <w:rFonts w:hint="eastAsia" w:ascii="宋体" w:hAnsi="宋体"/>
                <w:b/>
                <w:szCs w:val="21"/>
              </w:rPr>
              <w:t>开题</w:t>
            </w:r>
            <w:r>
              <w:rPr>
                <w:rFonts w:ascii="宋体" w:hAnsi="宋体"/>
                <w:b/>
                <w:szCs w:val="21"/>
              </w:rPr>
              <w:t>）</w:t>
            </w:r>
            <w:r>
              <w:rPr>
                <w:rFonts w:hint="eastAsia" w:ascii="宋体" w:hAnsi="宋体"/>
                <w:b/>
                <w:szCs w:val="21"/>
              </w:rPr>
              <w:t>：</w:t>
            </w: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before="120" w:line="312" w:lineRule="auto"/>
              <w:ind w:firstLine="7080" w:firstLineChars="2950"/>
              <w:rPr>
                <w:rFonts w:eastAsia="黑体"/>
                <w:sz w:val="24"/>
              </w:rPr>
            </w:pPr>
          </w:p>
          <w:p>
            <w:pPr>
              <w:spacing w:before="120" w:after="156" w:afterLines="50" w:line="312" w:lineRule="auto"/>
              <w:rPr>
                <w:rFonts w:ascii="宋体" w:hAnsi="宋体"/>
                <w:b/>
                <w:sz w:val="24"/>
              </w:rPr>
            </w:pPr>
            <w:r>
              <w:rPr>
                <w:rFonts w:hint="eastAsia" w:eastAsia="黑体"/>
                <w:sz w:val="24"/>
              </w:rPr>
              <w:t xml:space="preserve">                  </w:t>
            </w:r>
            <w:r>
              <w:rPr>
                <w:rFonts w:hint="eastAsia" w:ascii="宋体" w:hAnsi="宋体"/>
                <w:b/>
                <w:sz w:val="24"/>
              </w:rPr>
              <w:t xml:space="preserve">组长签名：                               </w:t>
            </w:r>
            <w:r>
              <w:rPr>
                <w:rFonts w:ascii="宋体" w:hAnsi="宋体"/>
                <w:b/>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2" w:hRule="atLeast"/>
          <w:jc w:val="center"/>
        </w:trPr>
        <w:tc>
          <w:tcPr>
            <w:tcW w:w="9162" w:type="dxa"/>
            <w:gridSpan w:val="7"/>
          </w:tcPr>
          <w:p>
            <w:pPr>
              <w:spacing w:before="120" w:line="312" w:lineRule="auto"/>
              <w:rPr>
                <w:rFonts w:ascii="宋体" w:hAnsi="宋体"/>
                <w:b/>
                <w:sz w:val="24"/>
              </w:rPr>
            </w:pPr>
            <w:r>
              <w:rPr>
                <w:rFonts w:ascii="宋体" w:hAnsi="宋体"/>
                <w:b/>
                <w:sz w:val="24"/>
              </w:rPr>
              <w:t>学院</w:t>
            </w:r>
            <w:r>
              <w:rPr>
                <w:rFonts w:hint="eastAsia" w:ascii="宋体" w:hAnsi="宋体"/>
                <w:b/>
                <w:sz w:val="24"/>
              </w:rPr>
              <w:t>教授委员会</w:t>
            </w:r>
            <w:r>
              <w:rPr>
                <w:rFonts w:ascii="宋体" w:hAnsi="宋体"/>
                <w:b/>
                <w:sz w:val="24"/>
              </w:rPr>
              <w:t>意见</w:t>
            </w:r>
            <w:r>
              <w:rPr>
                <w:rFonts w:hint="eastAsia" w:ascii="宋体" w:hAnsi="宋体"/>
                <w:b/>
                <w:sz w:val="24"/>
              </w:rPr>
              <w:t>：</w:t>
            </w:r>
          </w:p>
          <w:p>
            <w:pPr>
              <w:spacing w:line="312" w:lineRule="auto"/>
              <w:rPr>
                <w:rFonts w:ascii="宋体" w:hAnsi="宋体"/>
                <w:sz w:val="24"/>
              </w:rPr>
            </w:pPr>
          </w:p>
          <w:p>
            <w:pPr>
              <w:spacing w:line="312" w:lineRule="auto"/>
              <w:rPr>
                <w:rFonts w:ascii="宋体" w:hAnsi="宋体"/>
                <w:sz w:val="24"/>
              </w:rPr>
            </w:pPr>
          </w:p>
          <w:p>
            <w:pPr>
              <w:spacing w:line="312" w:lineRule="auto"/>
              <w:rPr>
                <w:rFonts w:ascii="宋体" w:hAnsi="宋体"/>
                <w:sz w:val="24"/>
              </w:rPr>
            </w:pPr>
          </w:p>
          <w:p>
            <w:pPr>
              <w:spacing w:line="312" w:lineRule="auto"/>
              <w:rPr>
                <w:rFonts w:ascii="宋体" w:hAnsi="宋体"/>
                <w:sz w:val="24"/>
              </w:rPr>
            </w:pPr>
          </w:p>
          <w:p>
            <w:pPr>
              <w:spacing w:line="312" w:lineRule="auto"/>
              <w:rPr>
                <w:rFonts w:eastAsia="黑体"/>
                <w:sz w:val="24"/>
              </w:rPr>
            </w:pPr>
          </w:p>
          <w:p>
            <w:pPr>
              <w:spacing w:after="312" w:afterLines="100" w:line="312" w:lineRule="auto"/>
              <w:rPr>
                <w:rFonts w:ascii="宋体" w:hAnsi="宋体"/>
                <w:b/>
                <w:sz w:val="24"/>
                <w:u w:val="thick"/>
              </w:rPr>
            </w:pPr>
            <w:r>
              <w:rPr>
                <w:rFonts w:hint="eastAsia" w:ascii="宋体" w:hAnsi="宋体"/>
                <w:b/>
                <w:sz w:val="24"/>
              </w:rPr>
              <w:t xml:space="preserve">     学院教授委员会主任</w:t>
            </w:r>
            <w:r>
              <w:rPr>
                <w:rFonts w:ascii="宋体" w:hAnsi="宋体"/>
                <w:b/>
                <w:sz w:val="24"/>
              </w:rPr>
              <w:t>签名</w:t>
            </w:r>
            <w:r>
              <w:rPr>
                <w:rFonts w:hint="eastAsia" w:ascii="宋体" w:hAnsi="宋体"/>
                <w:b/>
                <w:sz w:val="24"/>
              </w:rPr>
              <w:t xml:space="preserve">：                              </w:t>
            </w:r>
            <w:r>
              <w:rPr>
                <w:rFonts w:ascii="宋体" w:hAnsi="宋体"/>
                <w:b/>
                <w:sz w:val="24"/>
              </w:rPr>
              <w:t>年   月   日</w:t>
            </w:r>
          </w:p>
        </w:tc>
      </w:tr>
    </w:tbl>
    <w:p>
      <w:pPr>
        <w:rPr>
          <w:rFonts w:eastAsia="黑体"/>
          <w:sz w:val="30"/>
        </w:rPr>
      </w:pPr>
      <w:r>
        <w:rPr>
          <w:rFonts w:eastAsia="黑体"/>
          <w:sz w:val="30"/>
        </w:rPr>
        <w:fldChar w:fldCharType="begin"/>
      </w:r>
      <w:r>
        <w:rPr>
          <w:rFonts w:eastAsia="黑体"/>
          <w:sz w:val="30"/>
        </w:rPr>
        <w:instrText xml:space="preserve"> </w:instrText>
      </w:r>
      <w:r>
        <w:rPr>
          <w:rFonts w:hint="eastAsia" w:eastAsia="黑体"/>
          <w:sz w:val="30"/>
        </w:rPr>
        <w:instrText xml:space="preserve">ADDIN</w:instrText>
      </w:r>
      <w:r>
        <w:rPr>
          <w:rFonts w:eastAsia="黑体"/>
          <w:sz w:val="30"/>
        </w:rPr>
        <w:instrText xml:space="preserve"> </w:instrText>
      </w:r>
      <w:r>
        <w:rPr>
          <w:rFonts w:eastAsia="黑体"/>
          <w:sz w:val="30"/>
        </w:rPr>
        <w:fldChar w:fldCharType="end"/>
      </w:r>
    </w:p>
    <w:sectPr>
      <w:footerReference r:id="rId9" w:type="first"/>
      <w:footerReference r:id="rId8" w:type="default"/>
      <w:pgSz w:w="11907" w:h="16840"/>
      <w:pgMar w:top="1440" w:right="1418" w:bottom="1440" w:left="1418"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2"/>
      </w:rPr>
    </w:pPr>
    <w:r>
      <w:fldChar w:fldCharType="begin"/>
    </w:r>
    <w:r>
      <w:rPr>
        <w:rStyle w:val="12"/>
      </w:rPr>
      <w:instrText xml:space="preserve">PAGE  </w:instrText>
    </w:r>
    <w:r>
      <w:fldChar w:fldCharType="separate"/>
    </w:r>
    <w:r>
      <w:rPr>
        <w:rStyle w:val="12"/>
      </w:rPr>
      <w:t>1</w:t>
    </w:r>
    <w: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w:rPr>
        <w:rFonts w:hint="eastAsia"/>
        <w:lang w:eastAsia="zh-CN"/>
      </w:rPr>
      <w:t xml:space="preserve"> </w:t>
    </w: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p>
  <w:p>
    <w:pPr>
      <w:pStyle w:val="5"/>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vert="horz" wrap="none" lIns="0" tIns="0" rIns="0" bIns="0" anchor="t" anchorCtr="0" upright="1">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6pebnPAAAABQEAAA8AAAAAAAAAAQAgAAAAIgAAAGRycy9kb3ducmV2&#10;LnhtbFBLAQIUABQAAAAIAIdO4kBNM703BQIAAAQEAAAOAAAAAAAAAAEAIAAAAB4BAABkcnMvZTJv&#10;RG9jLnhtbFBLBQYAAAAABgAGAFkBAACV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 xml:space="preserve"> </w:t>
    </w:r>
  </w:p>
  <w:p>
    <w:pPr>
      <w:pStyle w:val="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35255" cy="131445"/>
              <wp:effectExtent l="0" t="0" r="0" b="1905"/>
              <wp:wrapNone/>
              <wp:docPr id="2"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35255" cy="131445"/>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5</w:t>
                          </w:r>
                          <w:r>
                            <w:rPr>
                              <w:rFonts w:hint="eastAsia"/>
                              <w:lang w:eastAsia="zh-CN"/>
                            </w:rPr>
                            <w:fldChar w:fldCharType="end"/>
                          </w:r>
                        </w:p>
                      </w:txbxContent>
                    </wps:txbx>
                    <wps:bodyPr rot="0" vert="horz" wrap="square" lIns="0" tIns="0" rIns="0" bIns="0" anchor="t" anchorCtr="0" upright="1">
                      <a:spAutoFit/>
                    </wps:bodyPr>
                  </wps:wsp>
                </a:graphicData>
              </a:graphic>
            </wp:anchor>
          </w:drawing>
        </mc:Choice>
        <mc:Fallback>
          <w:pict>
            <v:shape id="文本框 3" o:spid="_x0000_s1026" o:spt="202" type="#_x0000_t202" style="position:absolute;left:0pt;margin-top:0pt;height:10.35pt;width:10.65pt;mso-position-horizontal:center;mso-position-horizontal-relative:margin;z-index:251659264;mso-width-relative:page;mso-height-relative:page;" filled="f" stroked="f" coordsize="21600,21600" o:gfxdata="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NqAnHRAAAAAwEAAA8AAAAAAAAAAQAgAAAAIgAAAGRy&#10;cy9kb3ducmV2LnhtbFBLAQIUABQAAAAIAIdO4kAteByTDAIAAAQEAAAOAAAAAAAAAAEAIAAAACAB&#10;AABkcnMvZTJvRG9jLnhtbFBLBQYAAAAABgAGAFkBAACe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5</w:t>
                    </w:r>
                    <w:r>
                      <w:rPr>
                        <w:rFonts w:hint="eastAsia"/>
                        <w:lang w:eastAsia="zh-CN"/>
                      </w:rPr>
                      <w:fldChar w:fldCharType="end"/>
                    </w:r>
                  </w:p>
                </w:txbxContent>
              </v:textbox>
            </v:shape>
          </w:pict>
        </mc:Fallback>
      </mc:AlternateContent>
    </w:r>
  </w:p>
  <w:p>
    <w:pPr>
      <w:pStyle w:val="5"/>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文本框 6"/>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wps:txbx>
                    <wps:bodyPr rot="0" vert="horz" wrap="none" lIns="0" tIns="0" rIns="0" bIns="0" anchor="t" anchorCtr="0" upright="1">
                      <a:spAutoFit/>
                    </wps:bodyPr>
                  </wps:wsp>
                </a:graphicData>
              </a:graphic>
            </wp:anchor>
          </w:drawing>
        </mc:Choice>
        <mc:Fallback>
          <w:pict>
            <v:shape id="文本框 6" o:spid="_x0000_s1026" o:spt="202" type="#_x0000_t202" style="position:absolute;left:0pt;margin-top:0pt;height:10.35pt;width:4.55pt;mso-position-horizontal:center;mso-position-horizontal-relative:margin;mso-wrap-style:none;z-index:251660288;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L3UTQAAAAAgEAAA8AAAAAAAAAAQAgAAAAIgAAAGRycy9k&#10;b3ducmV2LnhtbFBLAQIUABQAAAAIAIdO4kD2yOeMCgIAAAEEAAAOAAAAAAAAAAEAIAAAAB8BAABk&#10;cnMvZTJvRG9jLnhtbFBLBQYAAAAABgAGAFkBAACb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v:textbox>
            </v:shape>
          </w:pict>
        </mc:Fallback>
      </mc:AlternateContent>
    </w:r>
    <w:r>
      <w:rPr>
        <w:rFonts w:hint="eastAsia"/>
        <w:lang w:eastAsia="zh-CN"/>
      </w:rPr>
      <w:t xml:space="preserve"> </w: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43081B"/>
    <w:multiLevelType w:val="singleLevel"/>
    <w:tmpl w:val="CE43081B"/>
    <w:lvl w:ilvl="0" w:tentative="0">
      <w:start w:val="1"/>
      <w:numFmt w:val="decimal"/>
      <w:lvlText w:val="(%1)"/>
      <w:lvlJc w:val="left"/>
      <w:pPr>
        <w:ind w:left="425" w:hanging="425"/>
      </w:pPr>
      <w:rPr>
        <w:rFonts w:hint="default"/>
      </w:rPr>
    </w:lvl>
  </w:abstractNum>
  <w:abstractNum w:abstractNumId="1">
    <w:nsid w:val="D3B56C01"/>
    <w:multiLevelType w:val="singleLevel"/>
    <w:tmpl w:val="D3B56C01"/>
    <w:lvl w:ilvl="0" w:tentative="0">
      <w:start w:val="3"/>
      <w:numFmt w:val="decimal"/>
      <w:suff w:val="nothing"/>
      <w:lvlText w:val="%1）"/>
      <w:lvlJc w:val="left"/>
    </w:lvl>
  </w:abstractNum>
  <w:abstractNum w:abstractNumId="2">
    <w:nsid w:val="F05F69B8"/>
    <w:multiLevelType w:val="singleLevel"/>
    <w:tmpl w:val="F05F69B8"/>
    <w:lvl w:ilvl="0" w:tentative="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VhOTkzOWZiMWNiODkzODg2YzE5YWM2ZTI4ZWVlODYifQ=="/>
    <w:docVar w:name="EN.InstantFormat" w:val="&lt;ENInstantFormat&gt;&lt;Enabled&gt;1&lt;/Enabled&gt;&lt;ScanUnformatted&gt;1&lt;/ScanUnformatted&gt;&lt;ScanChanges&gt;1&lt;/ScanChanges&gt;&lt;Suspended&gt;0&lt;/Suspended&gt;&lt;/ENInstantFormat&gt;"/>
    <w:docVar w:name="EN.Layout" w:val="&lt;ENLayout&gt;&lt;Style&gt;硕士论文&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zfasf5y959wzerw9a5fw51rdzttp9zztzf&quot;&gt;My EndNote Library&lt;record-ids&gt;&lt;item&gt;5&lt;/item&gt;&lt;item&gt;6&lt;/item&gt;&lt;item&gt;8&lt;/item&gt;&lt;item&gt;9&lt;/item&gt;&lt;item&gt;31&lt;/item&gt;&lt;item&gt;32&lt;/item&gt;&lt;item&gt;33&lt;/item&gt;&lt;item&gt;34&lt;/item&gt;&lt;item&gt;60&lt;/item&gt;&lt;item&gt;63&lt;/item&gt;&lt;item&gt;64&lt;/item&gt;&lt;item&gt;65&lt;/item&gt;&lt;item&gt;66&lt;/item&gt;&lt;item&gt;67&lt;/item&gt;&lt;item&gt;68&lt;/item&gt;&lt;item&gt;72&lt;/item&gt;&lt;item&gt;74&lt;/item&gt;&lt;item&gt;75&lt;/item&gt;&lt;item&gt;76&lt;/item&gt;&lt;item&gt;78&lt;/item&gt;&lt;item&gt;80&lt;/item&gt;&lt;item&gt;81&lt;/item&gt;&lt;item&gt;82&lt;/item&gt;&lt;item&gt;83&lt;/item&gt;&lt;item&gt;84&lt;/item&gt;&lt;item&gt;85&lt;/item&gt;&lt;item&gt;86&lt;/item&gt;&lt;item&gt;87&lt;/item&gt;&lt;item&gt;95&lt;/item&gt;&lt;item&gt;96&lt;/item&gt;&lt;item&gt;97&lt;/item&gt;&lt;item&gt;98&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8&lt;/item&gt;&lt;item&gt;121&lt;/item&gt;&lt;item&gt;122&lt;/item&gt;&lt;item&gt;123&lt;/item&gt;&lt;item&gt;124&lt;/item&gt;&lt;item&gt;125&lt;/item&gt;&lt;item&gt;126&lt;/item&gt;&lt;item&gt;127&lt;/item&gt;&lt;item&gt;128&lt;/item&gt;&lt;item&gt;129&lt;/item&gt;&lt;item&gt;130&lt;/item&gt;&lt;item&gt;131&lt;/item&gt;&lt;item&gt;132&lt;/item&gt;&lt;item&gt;133&lt;/item&gt;&lt;item&gt;136&lt;/item&gt;&lt;item&gt;137&lt;/item&gt;&lt;item&gt;138&lt;/item&gt;&lt;item&gt;139&lt;/item&gt;&lt;item&gt;140&lt;/item&gt;&lt;item&gt;141&lt;/item&gt;&lt;item&gt;142&lt;/item&gt;&lt;item&gt;143&lt;/item&gt;&lt;item&gt;144&lt;/item&gt;&lt;item&gt;146&lt;/item&gt;&lt;item&gt;147&lt;/item&gt;&lt;item&gt;148&lt;/item&gt;&lt;item&gt;149&lt;/item&gt;&lt;item&gt;150&lt;/item&gt;&lt;item&gt;151&lt;/item&gt;&lt;item&gt;152&lt;/item&gt;&lt;/record-ids&gt;&lt;/item&gt;&lt;/Libraries&gt;"/>
  </w:docVars>
  <w:rsids>
    <w:rsidRoot w:val="00CA144B"/>
    <w:rsid w:val="00000560"/>
    <w:rsid w:val="00001E3F"/>
    <w:rsid w:val="00002506"/>
    <w:rsid w:val="0000291F"/>
    <w:rsid w:val="000046C2"/>
    <w:rsid w:val="00004EB4"/>
    <w:rsid w:val="00007376"/>
    <w:rsid w:val="00007D55"/>
    <w:rsid w:val="000120FA"/>
    <w:rsid w:val="00012A60"/>
    <w:rsid w:val="00012EDE"/>
    <w:rsid w:val="000130D4"/>
    <w:rsid w:val="00014842"/>
    <w:rsid w:val="00017528"/>
    <w:rsid w:val="000178B2"/>
    <w:rsid w:val="000179B2"/>
    <w:rsid w:val="00020F5C"/>
    <w:rsid w:val="000225AC"/>
    <w:rsid w:val="00023FB0"/>
    <w:rsid w:val="00024A08"/>
    <w:rsid w:val="00024DB1"/>
    <w:rsid w:val="00025142"/>
    <w:rsid w:val="0002594B"/>
    <w:rsid w:val="00026139"/>
    <w:rsid w:val="0002695A"/>
    <w:rsid w:val="00027082"/>
    <w:rsid w:val="000274A5"/>
    <w:rsid w:val="00030933"/>
    <w:rsid w:val="00033094"/>
    <w:rsid w:val="00033872"/>
    <w:rsid w:val="0003798C"/>
    <w:rsid w:val="00041585"/>
    <w:rsid w:val="00042D9E"/>
    <w:rsid w:val="00043F29"/>
    <w:rsid w:val="0004477D"/>
    <w:rsid w:val="00044908"/>
    <w:rsid w:val="00044B29"/>
    <w:rsid w:val="00045998"/>
    <w:rsid w:val="00046F95"/>
    <w:rsid w:val="000473BD"/>
    <w:rsid w:val="000505D9"/>
    <w:rsid w:val="0005060A"/>
    <w:rsid w:val="000525FB"/>
    <w:rsid w:val="00054B1C"/>
    <w:rsid w:val="00055B52"/>
    <w:rsid w:val="00056BA0"/>
    <w:rsid w:val="00056E6F"/>
    <w:rsid w:val="000609A3"/>
    <w:rsid w:val="00061258"/>
    <w:rsid w:val="00061818"/>
    <w:rsid w:val="000618A1"/>
    <w:rsid w:val="0006461A"/>
    <w:rsid w:val="00064E49"/>
    <w:rsid w:val="000708B6"/>
    <w:rsid w:val="00072062"/>
    <w:rsid w:val="000722FE"/>
    <w:rsid w:val="000725A0"/>
    <w:rsid w:val="0007343C"/>
    <w:rsid w:val="000776A4"/>
    <w:rsid w:val="000815A4"/>
    <w:rsid w:val="00081D34"/>
    <w:rsid w:val="00084410"/>
    <w:rsid w:val="00084F4A"/>
    <w:rsid w:val="000850EF"/>
    <w:rsid w:val="00085915"/>
    <w:rsid w:val="0008635D"/>
    <w:rsid w:val="000864CE"/>
    <w:rsid w:val="00086800"/>
    <w:rsid w:val="00090C31"/>
    <w:rsid w:val="000912F6"/>
    <w:rsid w:val="00091437"/>
    <w:rsid w:val="00094111"/>
    <w:rsid w:val="0009543D"/>
    <w:rsid w:val="00097F40"/>
    <w:rsid w:val="000A1D28"/>
    <w:rsid w:val="000A74CB"/>
    <w:rsid w:val="000A7C5D"/>
    <w:rsid w:val="000B102D"/>
    <w:rsid w:val="000B127B"/>
    <w:rsid w:val="000B48A9"/>
    <w:rsid w:val="000B5A60"/>
    <w:rsid w:val="000B7101"/>
    <w:rsid w:val="000B71E5"/>
    <w:rsid w:val="000B763D"/>
    <w:rsid w:val="000C02AB"/>
    <w:rsid w:val="000C4BFA"/>
    <w:rsid w:val="000C67CA"/>
    <w:rsid w:val="000C79A4"/>
    <w:rsid w:val="000D1E2F"/>
    <w:rsid w:val="000D278F"/>
    <w:rsid w:val="000D48A1"/>
    <w:rsid w:val="000D48CD"/>
    <w:rsid w:val="000D4BB0"/>
    <w:rsid w:val="000D55AB"/>
    <w:rsid w:val="000D7A1E"/>
    <w:rsid w:val="000D7ED5"/>
    <w:rsid w:val="000E174E"/>
    <w:rsid w:val="000E1E53"/>
    <w:rsid w:val="000E3142"/>
    <w:rsid w:val="000F0070"/>
    <w:rsid w:val="000F14E0"/>
    <w:rsid w:val="000F1691"/>
    <w:rsid w:val="000F2262"/>
    <w:rsid w:val="000F3A2B"/>
    <w:rsid w:val="000F6A27"/>
    <w:rsid w:val="000F6A8E"/>
    <w:rsid w:val="00101066"/>
    <w:rsid w:val="00101F39"/>
    <w:rsid w:val="00102B3C"/>
    <w:rsid w:val="00102DF8"/>
    <w:rsid w:val="00106EFC"/>
    <w:rsid w:val="0010789E"/>
    <w:rsid w:val="00111D23"/>
    <w:rsid w:val="00112559"/>
    <w:rsid w:val="001129A3"/>
    <w:rsid w:val="00112C93"/>
    <w:rsid w:val="00113C71"/>
    <w:rsid w:val="00116F8F"/>
    <w:rsid w:val="00120069"/>
    <w:rsid w:val="0012094A"/>
    <w:rsid w:val="00121EDE"/>
    <w:rsid w:val="001224A8"/>
    <w:rsid w:val="00122690"/>
    <w:rsid w:val="00123CFE"/>
    <w:rsid w:val="0012480C"/>
    <w:rsid w:val="0012485A"/>
    <w:rsid w:val="001275C1"/>
    <w:rsid w:val="001278AB"/>
    <w:rsid w:val="0012793B"/>
    <w:rsid w:val="001279B0"/>
    <w:rsid w:val="0013048E"/>
    <w:rsid w:val="00130C6B"/>
    <w:rsid w:val="0013235D"/>
    <w:rsid w:val="00133D0D"/>
    <w:rsid w:val="00133D70"/>
    <w:rsid w:val="001350ED"/>
    <w:rsid w:val="00135440"/>
    <w:rsid w:val="00135659"/>
    <w:rsid w:val="00137534"/>
    <w:rsid w:val="001404CC"/>
    <w:rsid w:val="00145F4F"/>
    <w:rsid w:val="00150C5C"/>
    <w:rsid w:val="00151429"/>
    <w:rsid w:val="00151969"/>
    <w:rsid w:val="00152050"/>
    <w:rsid w:val="00152673"/>
    <w:rsid w:val="0015286A"/>
    <w:rsid w:val="0015330D"/>
    <w:rsid w:val="00155864"/>
    <w:rsid w:val="00155FE2"/>
    <w:rsid w:val="00156650"/>
    <w:rsid w:val="00160E15"/>
    <w:rsid w:val="00161C80"/>
    <w:rsid w:val="00162B38"/>
    <w:rsid w:val="001656CD"/>
    <w:rsid w:val="00166D7B"/>
    <w:rsid w:val="001671E5"/>
    <w:rsid w:val="001674A9"/>
    <w:rsid w:val="001675A4"/>
    <w:rsid w:val="001713D6"/>
    <w:rsid w:val="001725A8"/>
    <w:rsid w:val="001729E9"/>
    <w:rsid w:val="001737F5"/>
    <w:rsid w:val="0017492F"/>
    <w:rsid w:val="00174DF2"/>
    <w:rsid w:val="00175612"/>
    <w:rsid w:val="0018141A"/>
    <w:rsid w:val="00181AE8"/>
    <w:rsid w:val="001820FC"/>
    <w:rsid w:val="00183779"/>
    <w:rsid w:val="0018395E"/>
    <w:rsid w:val="001850BA"/>
    <w:rsid w:val="00185D12"/>
    <w:rsid w:val="00186656"/>
    <w:rsid w:val="0018795B"/>
    <w:rsid w:val="00191719"/>
    <w:rsid w:val="00194B4C"/>
    <w:rsid w:val="0019561D"/>
    <w:rsid w:val="001979B5"/>
    <w:rsid w:val="00197AF7"/>
    <w:rsid w:val="001A02A7"/>
    <w:rsid w:val="001A062C"/>
    <w:rsid w:val="001A0819"/>
    <w:rsid w:val="001A0FCD"/>
    <w:rsid w:val="001A1242"/>
    <w:rsid w:val="001A12F5"/>
    <w:rsid w:val="001A19A8"/>
    <w:rsid w:val="001A1BD8"/>
    <w:rsid w:val="001A219A"/>
    <w:rsid w:val="001A313B"/>
    <w:rsid w:val="001A3519"/>
    <w:rsid w:val="001A50F3"/>
    <w:rsid w:val="001A5BB3"/>
    <w:rsid w:val="001A5E3C"/>
    <w:rsid w:val="001A6488"/>
    <w:rsid w:val="001A67B0"/>
    <w:rsid w:val="001B0973"/>
    <w:rsid w:val="001B178A"/>
    <w:rsid w:val="001B2AC4"/>
    <w:rsid w:val="001B347A"/>
    <w:rsid w:val="001B3507"/>
    <w:rsid w:val="001B4E58"/>
    <w:rsid w:val="001B615E"/>
    <w:rsid w:val="001B678F"/>
    <w:rsid w:val="001B71EE"/>
    <w:rsid w:val="001B72B5"/>
    <w:rsid w:val="001B7D25"/>
    <w:rsid w:val="001C1B86"/>
    <w:rsid w:val="001C22CF"/>
    <w:rsid w:val="001C4508"/>
    <w:rsid w:val="001C45C2"/>
    <w:rsid w:val="001C4E4B"/>
    <w:rsid w:val="001C7FA7"/>
    <w:rsid w:val="001D0D54"/>
    <w:rsid w:val="001D27D6"/>
    <w:rsid w:val="001D2A38"/>
    <w:rsid w:val="001D3FEF"/>
    <w:rsid w:val="001D493E"/>
    <w:rsid w:val="001D4A0A"/>
    <w:rsid w:val="001D535E"/>
    <w:rsid w:val="001D6601"/>
    <w:rsid w:val="001D763B"/>
    <w:rsid w:val="001D7FD0"/>
    <w:rsid w:val="001E03B7"/>
    <w:rsid w:val="001E328A"/>
    <w:rsid w:val="001E3C84"/>
    <w:rsid w:val="001E441D"/>
    <w:rsid w:val="001E4D74"/>
    <w:rsid w:val="001E504E"/>
    <w:rsid w:val="001E57A6"/>
    <w:rsid w:val="001E75FE"/>
    <w:rsid w:val="001F395F"/>
    <w:rsid w:val="001F4ECF"/>
    <w:rsid w:val="001F51F8"/>
    <w:rsid w:val="001F5BAA"/>
    <w:rsid w:val="001F5D68"/>
    <w:rsid w:val="001F6C42"/>
    <w:rsid w:val="001F713F"/>
    <w:rsid w:val="0020032A"/>
    <w:rsid w:val="0020061D"/>
    <w:rsid w:val="00201705"/>
    <w:rsid w:val="002022D4"/>
    <w:rsid w:val="00202FA7"/>
    <w:rsid w:val="00203EA5"/>
    <w:rsid w:val="0020696B"/>
    <w:rsid w:val="0020759C"/>
    <w:rsid w:val="00211485"/>
    <w:rsid w:val="002115C6"/>
    <w:rsid w:val="00211D20"/>
    <w:rsid w:val="0021263B"/>
    <w:rsid w:val="00217C05"/>
    <w:rsid w:val="002217E8"/>
    <w:rsid w:val="00221A31"/>
    <w:rsid w:val="0022371D"/>
    <w:rsid w:val="00223E4B"/>
    <w:rsid w:val="002245AC"/>
    <w:rsid w:val="00232147"/>
    <w:rsid w:val="00232831"/>
    <w:rsid w:val="00232B33"/>
    <w:rsid w:val="00235361"/>
    <w:rsid w:val="00235FB0"/>
    <w:rsid w:val="002427F2"/>
    <w:rsid w:val="00243866"/>
    <w:rsid w:val="0024442D"/>
    <w:rsid w:val="00246829"/>
    <w:rsid w:val="00246CAC"/>
    <w:rsid w:val="002501CB"/>
    <w:rsid w:val="00251C48"/>
    <w:rsid w:val="002524AC"/>
    <w:rsid w:val="00252B93"/>
    <w:rsid w:val="0025727D"/>
    <w:rsid w:val="0025790C"/>
    <w:rsid w:val="00260D55"/>
    <w:rsid w:val="00262224"/>
    <w:rsid w:val="00262AE8"/>
    <w:rsid w:val="00264ACE"/>
    <w:rsid w:val="002664B2"/>
    <w:rsid w:val="002677E2"/>
    <w:rsid w:val="0027000F"/>
    <w:rsid w:val="00270645"/>
    <w:rsid w:val="002718DB"/>
    <w:rsid w:val="0027265C"/>
    <w:rsid w:val="00274CE9"/>
    <w:rsid w:val="00275C61"/>
    <w:rsid w:val="00275F0C"/>
    <w:rsid w:val="00275FF5"/>
    <w:rsid w:val="002761E0"/>
    <w:rsid w:val="0027678C"/>
    <w:rsid w:val="0028034A"/>
    <w:rsid w:val="00280725"/>
    <w:rsid w:val="00280BB4"/>
    <w:rsid w:val="0028125E"/>
    <w:rsid w:val="00283EF4"/>
    <w:rsid w:val="00284917"/>
    <w:rsid w:val="00285839"/>
    <w:rsid w:val="0028792C"/>
    <w:rsid w:val="00293159"/>
    <w:rsid w:val="00296135"/>
    <w:rsid w:val="00297411"/>
    <w:rsid w:val="002A0F79"/>
    <w:rsid w:val="002A1131"/>
    <w:rsid w:val="002A228B"/>
    <w:rsid w:val="002A34B0"/>
    <w:rsid w:val="002A4639"/>
    <w:rsid w:val="002A46D1"/>
    <w:rsid w:val="002B03F9"/>
    <w:rsid w:val="002B0C83"/>
    <w:rsid w:val="002B255E"/>
    <w:rsid w:val="002B7CBC"/>
    <w:rsid w:val="002C0360"/>
    <w:rsid w:val="002C0F4A"/>
    <w:rsid w:val="002C12C6"/>
    <w:rsid w:val="002C2E97"/>
    <w:rsid w:val="002C3377"/>
    <w:rsid w:val="002C5A00"/>
    <w:rsid w:val="002C5BC7"/>
    <w:rsid w:val="002C7197"/>
    <w:rsid w:val="002C7DA3"/>
    <w:rsid w:val="002D0C7B"/>
    <w:rsid w:val="002D2931"/>
    <w:rsid w:val="002D3652"/>
    <w:rsid w:val="002D3DC4"/>
    <w:rsid w:val="002D4B46"/>
    <w:rsid w:val="002D5385"/>
    <w:rsid w:val="002D615D"/>
    <w:rsid w:val="002E4949"/>
    <w:rsid w:val="002F0295"/>
    <w:rsid w:val="002F0547"/>
    <w:rsid w:val="002F19F3"/>
    <w:rsid w:val="002F27A6"/>
    <w:rsid w:val="002F2EB4"/>
    <w:rsid w:val="002F3860"/>
    <w:rsid w:val="002F519A"/>
    <w:rsid w:val="002F6619"/>
    <w:rsid w:val="002F7584"/>
    <w:rsid w:val="002F7CBD"/>
    <w:rsid w:val="00300EBF"/>
    <w:rsid w:val="003026E1"/>
    <w:rsid w:val="00302D08"/>
    <w:rsid w:val="00303A0B"/>
    <w:rsid w:val="003065A2"/>
    <w:rsid w:val="00311EF8"/>
    <w:rsid w:val="003124FA"/>
    <w:rsid w:val="003135D4"/>
    <w:rsid w:val="003171B6"/>
    <w:rsid w:val="003173B1"/>
    <w:rsid w:val="003179A1"/>
    <w:rsid w:val="00320B4D"/>
    <w:rsid w:val="00320E7F"/>
    <w:rsid w:val="00323053"/>
    <w:rsid w:val="0032305E"/>
    <w:rsid w:val="00323CEF"/>
    <w:rsid w:val="00326C82"/>
    <w:rsid w:val="00330907"/>
    <w:rsid w:val="00331FAC"/>
    <w:rsid w:val="00332C6F"/>
    <w:rsid w:val="003332CB"/>
    <w:rsid w:val="003338F9"/>
    <w:rsid w:val="003359A7"/>
    <w:rsid w:val="00335FCB"/>
    <w:rsid w:val="00337C21"/>
    <w:rsid w:val="00337C67"/>
    <w:rsid w:val="003433F4"/>
    <w:rsid w:val="003434BD"/>
    <w:rsid w:val="0034457F"/>
    <w:rsid w:val="00344ABB"/>
    <w:rsid w:val="00344DD1"/>
    <w:rsid w:val="00344EA4"/>
    <w:rsid w:val="003457B7"/>
    <w:rsid w:val="003476B3"/>
    <w:rsid w:val="0034773B"/>
    <w:rsid w:val="00351460"/>
    <w:rsid w:val="00351933"/>
    <w:rsid w:val="00352275"/>
    <w:rsid w:val="00353221"/>
    <w:rsid w:val="00353DE9"/>
    <w:rsid w:val="0035664C"/>
    <w:rsid w:val="003568EF"/>
    <w:rsid w:val="003571BF"/>
    <w:rsid w:val="00357CD0"/>
    <w:rsid w:val="00357EE6"/>
    <w:rsid w:val="00361691"/>
    <w:rsid w:val="00362996"/>
    <w:rsid w:val="00362D28"/>
    <w:rsid w:val="00364A7D"/>
    <w:rsid w:val="003652AB"/>
    <w:rsid w:val="003657D4"/>
    <w:rsid w:val="00366C86"/>
    <w:rsid w:val="003673AD"/>
    <w:rsid w:val="003678E4"/>
    <w:rsid w:val="003716DB"/>
    <w:rsid w:val="00371FE0"/>
    <w:rsid w:val="0037235C"/>
    <w:rsid w:val="00373FAD"/>
    <w:rsid w:val="003744B2"/>
    <w:rsid w:val="0037561F"/>
    <w:rsid w:val="00375A07"/>
    <w:rsid w:val="0037678D"/>
    <w:rsid w:val="00376F0A"/>
    <w:rsid w:val="0037738C"/>
    <w:rsid w:val="00380D78"/>
    <w:rsid w:val="003810C3"/>
    <w:rsid w:val="0039116C"/>
    <w:rsid w:val="0039124F"/>
    <w:rsid w:val="00395908"/>
    <w:rsid w:val="00396D00"/>
    <w:rsid w:val="003971FD"/>
    <w:rsid w:val="003A0DB8"/>
    <w:rsid w:val="003A10DF"/>
    <w:rsid w:val="003A2CAB"/>
    <w:rsid w:val="003A2FF3"/>
    <w:rsid w:val="003A316D"/>
    <w:rsid w:val="003A54CE"/>
    <w:rsid w:val="003A5B59"/>
    <w:rsid w:val="003A5E50"/>
    <w:rsid w:val="003A6C22"/>
    <w:rsid w:val="003B024F"/>
    <w:rsid w:val="003B0B7A"/>
    <w:rsid w:val="003B1C3C"/>
    <w:rsid w:val="003B214D"/>
    <w:rsid w:val="003B2381"/>
    <w:rsid w:val="003B2924"/>
    <w:rsid w:val="003B3996"/>
    <w:rsid w:val="003B491B"/>
    <w:rsid w:val="003B688B"/>
    <w:rsid w:val="003B7786"/>
    <w:rsid w:val="003C05F9"/>
    <w:rsid w:val="003C2353"/>
    <w:rsid w:val="003C36A1"/>
    <w:rsid w:val="003C3F04"/>
    <w:rsid w:val="003C7D74"/>
    <w:rsid w:val="003D1275"/>
    <w:rsid w:val="003D14BF"/>
    <w:rsid w:val="003D3E86"/>
    <w:rsid w:val="003D549F"/>
    <w:rsid w:val="003D5665"/>
    <w:rsid w:val="003D57F7"/>
    <w:rsid w:val="003D68D2"/>
    <w:rsid w:val="003D6E9E"/>
    <w:rsid w:val="003D7502"/>
    <w:rsid w:val="003E069E"/>
    <w:rsid w:val="003E08B1"/>
    <w:rsid w:val="003E16CD"/>
    <w:rsid w:val="003E2A58"/>
    <w:rsid w:val="003E2BA9"/>
    <w:rsid w:val="003E43B4"/>
    <w:rsid w:val="003E4F1D"/>
    <w:rsid w:val="003F016A"/>
    <w:rsid w:val="003F2D26"/>
    <w:rsid w:val="003F3DAC"/>
    <w:rsid w:val="003F3DFA"/>
    <w:rsid w:val="003F50F2"/>
    <w:rsid w:val="00401900"/>
    <w:rsid w:val="004021F7"/>
    <w:rsid w:val="004035A3"/>
    <w:rsid w:val="004035C0"/>
    <w:rsid w:val="0040415C"/>
    <w:rsid w:val="00412248"/>
    <w:rsid w:val="00413A88"/>
    <w:rsid w:val="00413C8B"/>
    <w:rsid w:val="00415F47"/>
    <w:rsid w:val="0041648F"/>
    <w:rsid w:val="00416EB9"/>
    <w:rsid w:val="00421541"/>
    <w:rsid w:val="00421FC0"/>
    <w:rsid w:val="00423C5B"/>
    <w:rsid w:val="00427FBB"/>
    <w:rsid w:val="004303ED"/>
    <w:rsid w:val="00430584"/>
    <w:rsid w:val="004324B5"/>
    <w:rsid w:val="004330DC"/>
    <w:rsid w:val="00436013"/>
    <w:rsid w:val="00436726"/>
    <w:rsid w:val="00436D83"/>
    <w:rsid w:val="004377EC"/>
    <w:rsid w:val="00437F8E"/>
    <w:rsid w:val="00440CC8"/>
    <w:rsid w:val="004416E6"/>
    <w:rsid w:val="00441792"/>
    <w:rsid w:val="00444E0D"/>
    <w:rsid w:val="004505CA"/>
    <w:rsid w:val="00451451"/>
    <w:rsid w:val="00451F8D"/>
    <w:rsid w:val="0045219C"/>
    <w:rsid w:val="004530E6"/>
    <w:rsid w:val="0045359D"/>
    <w:rsid w:val="00453F1D"/>
    <w:rsid w:val="004541BD"/>
    <w:rsid w:val="00454465"/>
    <w:rsid w:val="0045564A"/>
    <w:rsid w:val="00456261"/>
    <w:rsid w:val="00456793"/>
    <w:rsid w:val="00462D89"/>
    <w:rsid w:val="004635C9"/>
    <w:rsid w:val="00466111"/>
    <w:rsid w:val="004703CF"/>
    <w:rsid w:val="00472080"/>
    <w:rsid w:val="00473213"/>
    <w:rsid w:val="004736C4"/>
    <w:rsid w:val="004749F2"/>
    <w:rsid w:val="00474E4B"/>
    <w:rsid w:val="00475298"/>
    <w:rsid w:val="004767AE"/>
    <w:rsid w:val="00480E22"/>
    <w:rsid w:val="00481BD4"/>
    <w:rsid w:val="00481EBB"/>
    <w:rsid w:val="00481F6A"/>
    <w:rsid w:val="00483EEB"/>
    <w:rsid w:val="0048472D"/>
    <w:rsid w:val="00485C41"/>
    <w:rsid w:val="00485ED2"/>
    <w:rsid w:val="00486119"/>
    <w:rsid w:val="00492744"/>
    <w:rsid w:val="00493BDB"/>
    <w:rsid w:val="00493DCD"/>
    <w:rsid w:val="004956B9"/>
    <w:rsid w:val="0049595F"/>
    <w:rsid w:val="00495C61"/>
    <w:rsid w:val="004962A2"/>
    <w:rsid w:val="004A037B"/>
    <w:rsid w:val="004A106D"/>
    <w:rsid w:val="004A5159"/>
    <w:rsid w:val="004A7337"/>
    <w:rsid w:val="004B0FC3"/>
    <w:rsid w:val="004B2B50"/>
    <w:rsid w:val="004B383B"/>
    <w:rsid w:val="004B3BD7"/>
    <w:rsid w:val="004B40C9"/>
    <w:rsid w:val="004B5EC7"/>
    <w:rsid w:val="004C1A0C"/>
    <w:rsid w:val="004C3308"/>
    <w:rsid w:val="004C39EF"/>
    <w:rsid w:val="004C474C"/>
    <w:rsid w:val="004C4EFC"/>
    <w:rsid w:val="004C55A2"/>
    <w:rsid w:val="004C7C12"/>
    <w:rsid w:val="004D1B6F"/>
    <w:rsid w:val="004D28E5"/>
    <w:rsid w:val="004D369B"/>
    <w:rsid w:val="004D39D8"/>
    <w:rsid w:val="004D3A65"/>
    <w:rsid w:val="004D4763"/>
    <w:rsid w:val="004D5C48"/>
    <w:rsid w:val="004D5D64"/>
    <w:rsid w:val="004D610C"/>
    <w:rsid w:val="004D6619"/>
    <w:rsid w:val="004E11C8"/>
    <w:rsid w:val="004E1E73"/>
    <w:rsid w:val="004E3DD5"/>
    <w:rsid w:val="004E4FF3"/>
    <w:rsid w:val="004E51D6"/>
    <w:rsid w:val="004E7512"/>
    <w:rsid w:val="004F0E5E"/>
    <w:rsid w:val="004F38B1"/>
    <w:rsid w:val="004F3917"/>
    <w:rsid w:val="004F3BE5"/>
    <w:rsid w:val="00500031"/>
    <w:rsid w:val="00501E4F"/>
    <w:rsid w:val="00502148"/>
    <w:rsid w:val="00502C42"/>
    <w:rsid w:val="005032B6"/>
    <w:rsid w:val="00505721"/>
    <w:rsid w:val="00505A12"/>
    <w:rsid w:val="0050634B"/>
    <w:rsid w:val="00507705"/>
    <w:rsid w:val="00507B7B"/>
    <w:rsid w:val="005109CC"/>
    <w:rsid w:val="00511862"/>
    <w:rsid w:val="00511F60"/>
    <w:rsid w:val="00513DD9"/>
    <w:rsid w:val="005151CB"/>
    <w:rsid w:val="005173B3"/>
    <w:rsid w:val="005174BF"/>
    <w:rsid w:val="00517D8C"/>
    <w:rsid w:val="00521F00"/>
    <w:rsid w:val="005229CC"/>
    <w:rsid w:val="00526DFB"/>
    <w:rsid w:val="00530868"/>
    <w:rsid w:val="00532F54"/>
    <w:rsid w:val="005330AC"/>
    <w:rsid w:val="005333C3"/>
    <w:rsid w:val="00533BDF"/>
    <w:rsid w:val="00536858"/>
    <w:rsid w:val="00537715"/>
    <w:rsid w:val="00537CFE"/>
    <w:rsid w:val="00540889"/>
    <w:rsid w:val="005415B4"/>
    <w:rsid w:val="00542508"/>
    <w:rsid w:val="005431D1"/>
    <w:rsid w:val="005478F4"/>
    <w:rsid w:val="00551817"/>
    <w:rsid w:val="00552770"/>
    <w:rsid w:val="0055279F"/>
    <w:rsid w:val="00552A32"/>
    <w:rsid w:val="005536BF"/>
    <w:rsid w:val="00553EF0"/>
    <w:rsid w:val="00556AF7"/>
    <w:rsid w:val="00557021"/>
    <w:rsid w:val="00557EE6"/>
    <w:rsid w:val="00560186"/>
    <w:rsid w:val="005608DF"/>
    <w:rsid w:val="00562DB2"/>
    <w:rsid w:val="00562F69"/>
    <w:rsid w:val="00563794"/>
    <w:rsid w:val="00564322"/>
    <w:rsid w:val="0056442E"/>
    <w:rsid w:val="005648CF"/>
    <w:rsid w:val="00565FC3"/>
    <w:rsid w:val="0056687E"/>
    <w:rsid w:val="00566E17"/>
    <w:rsid w:val="00570AE7"/>
    <w:rsid w:val="005713D0"/>
    <w:rsid w:val="0057142D"/>
    <w:rsid w:val="005718E3"/>
    <w:rsid w:val="005724D1"/>
    <w:rsid w:val="0057287A"/>
    <w:rsid w:val="005759AB"/>
    <w:rsid w:val="0057772A"/>
    <w:rsid w:val="00581024"/>
    <w:rsid w:val="00583290"/>
    <w:rsid w:val="005832F1"/>
    <w:rsid w:val="00583610"/>
    <w:rsid w:val="00583882"/>
    <w:rsid w:val="00586930"/>
    <w:rsid w:val="00593687"/>
    <w:rsid w:val="00595118"/>
    <w:rsid w:val="005953F5"/>
    <w:rsid w:val="00596144"/>
    <w:rsid w:val="00596966"/>
    <w:rsid w:val="00597058"/>
    <w:rsid w:val="005A0048"/>
    <w:rsid w:val="005A03A5"/>
    <w:rsid w:val="005A0FFE"/>
    <w:rsid w:val="005A3DF0"/>
    <w:rsid w:val="005A5F1C"/>
    <w:rsid w:val="005A6EAD"/>
    <w:rsid w:val="005B0175"/>
    <w:rsid w:val="005B04EA"/>
    <w:rsid w:val="005B101D"/>
    <w:rsid w:val="005B141E"/>
    <w:rsid w:val="005B1792"/>
    <w:rsid w:val="005B265E"/>
    <w:rsid w:val="005B3663"/>
    <w:rsid w:val="005B4C76"/>
    <w:rsid w:val="005B51BA"/>
    <w:rsid w:val="005B5422"/>
    <w:rsid w:val="005B552A"/>
    <w:rsid w:val="005B7368"/>
    <w:rsid w:val="005B772A"/>
    <w:rsid w:val="005C0502"/>
    <w:rsid w:val="005C0FF3"/>
    <w:rsid w:val="005C1606"/>
    <w:rsid w:val="005C35E5"/>
    <w:rsid w:val="005C3994"/>
    <w:rsid w:val="005C4364"/>
    <w:rsid w:val="005C5D96"/>
    <w:rsid w:val="005D0463"/>
    <w:rsid w:val="005D0615"/>
    <w:rsid w:val="005D1992"/>
    <w:rsid w:val="005D204C"/>
    <w:rsid w:val="005D57C1"/>
    <w:rsid w:val="005D57DF"/>
    <w:rsid w:val="005E214C"/>
    <w:rsid w:val="005E5B6B"/>
    <w:rsid w:val="005E6526"/>
    <w:rsid w:val="005E6779"/>
    <w:rsid w:val="005E7827"/>
    <w:rsid w:val="005F19D7"/>
    <w:rsid w:val="005F1F73"/>
    <w:rsid w:val="005F1F95"/>
    <w:rsid w:val="005F2013"/>
    <w:rsid w:val="005F218F"/>
    <w:rsid w:val="005F28DF"/>
    <w:rsid w:val="005F2BB1"/>
    <w:rsid w:val="005F44C5"/>
    <w:rsid w:val="005F4A9A"/>
    <w:rsid w:val="005F788E"/>
    <w:rsid w:val="005F7D4A"/>
    <w:rsid w:val="005F7F6C"/>
    <w:rsid w:val="00600B2C"/>
    <w:rsid w:val="00601343"/>
    <w:rsid w:val="006035AD"/>
    <w:rsid w:val="00603C9A"/>
    <w:rsid w:val="00610D2D"/>
    <w:rsid w:val="0061121B"/>
    <w:rsid w:val="0061288A"/>
    <w:rsid w:val="00616353"/>
    <w:rsid w:val="00617EE3"/>
    <w:rsid w:val="00617F18"/>
    <w:rsid w:val="00622AFB"/>
    <w:rsid w:val="00623EC9"/>
    <w:rsid w:val="006267DA"/>
    <w:rsid w:val="00626A01"/>
    <w:rsid w:val="00627769"/>
    <w:rsid w:val="0063070B"/>
    <w:rsid w:val="00630C38"/>
    <w:rsid w:val="0063370B"/>
    <w:rsid w:val="006352F0"/>
    <w:rsid w:val="006369D1"/>
    <w:rsid w:val="00641F77"/>
    <w:rsid w:val="00643493"/>
    <w:rsid w:val="00644B0A"/>
    <w:rsid w:val="00644E99"/>
    <w:rsid w:val="00645405"/>
    <w:rsid w:val="00645B2A"/>
    <w:rsid w:val="00646C05"/>
    <w:rsid w:val="006473BC"/>
    <w:rsid w:val="00647986"/>
    <w:rsid w:val="006526B5"/>
    <w:rsid w:val="006548C9"/>
    <w:rsid w:val="00654A3C"/>
    <w:rsid w:val="00654E7C"/>
    <w:rsid w:val="0065554D"/>
    <w:rsid w:val="006560CD"/>
    <w:rsid w:val="006604E0"/>
    <w:rsid w:val="00662871"/>
    <w:rsid w:val="0066795B"/>
    <w:rsid w:val="00671301"/>
    <w:rsid w:val="00671A11"/>
    <w:rsid w:val="00672E4E"/>
    <w:rsid w:val="006732BA"/>
    <w:rsid w:val="0067344C"/>
    <w:rsid w:val="00673662"/>
    <w:rsid w:val="006748B2"/>
    <w:rsid w:val="00674AE8"/>
    <w:rsid w:val="0067722B"/>
    <w:rsid w:val="0067794E"/>
    <w:rsid w:val="00680E49"/>
    <w:rsid w:val="00682D37"/>
    <w:rsid w:val="00683B9D"/>
    <w:rsid w:val="00684B6C"/>
    <w:rsid w:val="00685E77"/>
    <w:rsid w:val="00686316"/>
    <w:rsid w:val="0069184F"/>
    <w:rsid w:val="0069263D"/>
    <w:rsid w:val="0069282C"/>
    <w:rsid w:val="00693EC2"/>
    <w:rsid w:val="00694CA2"/>
    <w:rsid w:val="00694D04"/>
    <w:rsid w:val="00696EF8"/>
    <w:rsid w:val="00697084"/>
    <w:rsid w:val="006A2081"/>
    <w:rsid w:val="006A20AC"/>
    <w:rsid w:val="006A2B12"/>
    <w:rsid w:val="006A3B23"/>
    <w:rsid w:val="006A3D28"/>
    <w:rsid w:val="006A4FAC"/>
    <w:rsid w:val="006A50C7"/>
    <w:rsid w:val="006A5461"/>
    <w:rsid w:val="006A662B"/>
    <w:rsid w:val="006A7049"/>
    <w:rsid w:val="006B09DC"/>
    <w:rsid w:val="006B147F"/>
    <w:rsid w:val="006B20C0"/>
    <w:rsid w:val="006B2B68"/>
    <w:rsid w:val="006B674F"/>
    <w:rsid w:val="006B6B5C"/>
    <w:rsid w:val="006B7210"/>
    <w:rsid w:val="006B7AFC"/>
    <w:rsid w:val="006B7D49"/>
    <w:rsid w:val="006C125E"/>
    <w:rsid w:val="006C13E2"/>
    <w:rsid w:val="006C194F"/>
    <w:rsid w:val="006C3A0C"/>
    <w:rsid w:val="006C4401"/>
    <w:rsid w:val="006D029C"/>
    <w:rsid w:val="006D0ED9"/>
    <w:rsid w:val="006D15F2"/>
    <w:rsid w:val="006D166C"/>
    <w:rsid w:val="006D3E41"/>
    <w:rsid w:val="006D636D"/>
    <w:rsid w:val="006D6DBE"/>
    <w:rsid w:val="006E0803"/>
    <w:rsid w:val="006E3312"/>
    <w:rsid w:val="006E341C"/>
    <w:rsid w:val="006E3BF1"/>
    <w:rsid w:val="006E40D7"/>
    <w:rsid w:val="006E681A"/>
    <w:rsid w:val="006E7F07"/>
    <w:rsid w:val="006F037F"/>
    <w:rsid w:val="006F0AFC"/>
    <w:rsid w:val="006F1ADE"/>
    <w:rsid w:val="006F2CF7"/>
    <w:rsid w:val="006F355D"/>
    <w:rsid w:val="006F4726"/>
    <w:rsid w:val="006F54EA"/>
    <w:rsid w:val="00702012"/>
    <w:rsid w:val="00702FE9"/>
    <w:rsid w:val="00703B31"/>
    <w:rsid w:val="007056C0"/>
    <w:rsid w:val="007057D2"/>
    <w:rsid w:val="007060EC"/>
    <w:rsid w:val="007062AD"/>
    <w:rsid w:val="00707100"/>
    <w:rsid w:val="007079A7"/>
    <w:rsid w:val="00712FD0"/>
    <w:rsid w:val="00714563"/>
    <w:rsid w:val="007148F2"/>
    <w:rsid w:val="007150B9"/>
    <w:rsid w:val="00715B06"/>
    <w:rsid w:val="007169D4"/>
    <w:rsid w:val="00720510"/>
    <w:rsid w:val="007243E8"/>
    <w:rsid w:val="00725F45"/>
    <w:rsid w:val="00726C5B"/>
    <w:rsid w:val="00726F00"/>
    <w:rsid w:val="007317BF"/>
    <w:rsid w:val="0073276C"/>
    <w:rsid w:val="007337AB"/>
    <w:rsid w:val="00734101"/>
    <w:rsid w:val="007349C1"/>
    <w:rsid w:val="00736EA7"/>
    <w:rsid w:val="00740C9C"/>
    <w:rsid w:val="0074216B"/>
    <w:rsid w:val="0074381F"/>
    <w:rsid w:val="00743E80"/>
    <w:rsid w:val="0074513C"/>
    <w:rsid w:val="0074668E"/>
    <w:rsid w:val="00750D45"/>
    <w:rsid w:val="0075101F"/>
    <w:rsid w:val="007542A6"/>
    <w:rsid w:val="00754502"/>
    <w:rsid w:val="007548BC"/>
    <w:rsid w:val="0075580D"/>
    <w:rsid w:val="00756E48"/>
    <w:rsid w:val="007570B1"/>
    <w:rsid w:val="00757213"/>
    <w:rsid w:val="00757351"/>
    <w:rsid w:val="0075787E"/>
    <w:rsid w:val="00757E81"/>
    <w:rsid w:val="00760170"/>
    <w:rsid w:val="007609FD"/>
    <w:rsid w:val="0076679D"/>
    <w:rsid w:val="00766B90"/>
    <w:rsid w:val="007715D9"/>
    <w:rsid w:val="00771B6D"/>
    <w:rsid w:val="00771B84"/>
    <w:rsid w:val="00773A7A"/>
    <w:rsid w:val="00773D27"/>
    <w:rsid w:val="00773EB9"/>
    <w:rsid w:val="00776087"/>
    <w:rsid w:val="007766DE"/>
    <w:rsid w:val="0077751B"/>
    <w:rsid w:val="00781EFC"/>
    <w:rsid w:val="00783317"/>
    <w:rsid w:val="00787393"/>
    <w:rsid w:val="00787AE1"/>
    <w:rsid w:val="00787FD8"/>
    <w:rsid w:val="007906C1"/>
    <w:rsid w:val="00790BAE"/>
    <w:rsid w:val="007918EF"/>
    <w:rsid w:val="007921FD"/>
    <w:rsid w:val="0079272F"/>
    <w:rsid w:val="00792979"/>
    <w:rsid w:val="0079328A"/>
    <w:rsid w:val="007932BE"/>
    <w:rsid w:val="0079336D"/>
    <w:rsid w:val="00794555"/>
    <w:rsid w:val="00794824"/>
    <w:rsid w:val="007950B7"/>
    <w:rsid w:val="00795C93"/>
    <w:rsid w:val="00796EB8"/>
    <w:rsid w:val="007A0071"/>
    <w:rsid w:val="007A1BF3"/>
    <w:rsid w:val="007A27D5"/>
    <w:rsid w:val="007A3689"/>
    <w:rsid w:val="007A3938"/>
    <w:rsid w:val="007A738F"/>
    <w:rsid w:val="007A7A62"/>
    <w:rsid w:val="007B06BA"/>
    <w:rsid w:val="007B193F"/>
    <w:rsid w:val="007B5A9F"/>
    <w:rsid w:val="007B6A8C"/>
    <w:rsid w:val="007B6E70"/>
    <w:rsid w:val="007B7066"/>
    <w:rsid w:val="007C1E4B"/>
    <w:rsid w:val="007C2716"/>
    <w:rsid w:val="007C2C12"/>
    <w:rsid w:val="007C4545"/>
    <w:rsid w:val="007C5D36"/>
    <w:rsid w:val="007C7B43"/>
    <w:rsid w:val="007D1A95"/>
    <w:rsid w:val="007D3905"/>
    <w:rsid w:val="007D42EA"/>
    <w:rsid w:val="007D56AD"/>
    <w:rsid w:val="007D5989"/>
    <w:rsid w:val="007D59FB"/>
    <w:rsid w:val="007E0136"/>
    <w:rsid w:val="007E22D9"/>
    <w:rsid w:val="007E254A"/>
    <w:rsid w:val="007E2818"/>
    <w:rsid w:val="007E3ACD"/>
    <w:rsid w:val="007E42A0"/>
    <w:rsid w:val="007E5610"/>
    <w:rsid w:val="007E58F4"/>
    <w:rsid w:val="007E63B8"/>
    <w:rsid w:val="007E76F8"/>
    <w:rsid w:val="007E7DB2"/>
    <w:rsid w:val="007F04F8"/>
    <w:rsid w:val="007F072D"/>
    <w:rsid w:val="007F30CD"/>
    <w:rsid w:val="007F5E74"/>
    <w:rsid w:val="007F616F"/>
    <w:rsid w:val="007F669B"/>
    <w:rsid w:val="007F7309"/>
    <w:rsid w:val="008008EC"/>
    <w:rsid w:val="00802ABA"/>
    <w:rsid w:val="008062C2"/>
    <w:rsid w:val="00806AA6"/>
    <w:rsid w:val="00811654"/>
    <w:rsid w:val="008145AA"/>
    <w:rsid w:val="008159E1"/>
    <w:rsid w:val="00817038"/>
    <w:rsid w:val="00817BAC"/>
    <w:rsid w:val="00817E1C"/>
    <w:rsid w:val="008202BA"/>
    <w:rsid w:val="008222ED"/>
    <w:rsid w:val="00825256"/>
    <w:rsid w:val="00826CE6"/>
    <w:rsid w:val="008279B8"/>
    <w:rsid w:val="008306FB"/>
    <w:rsid w:val="0083070B"/>
    <w:rsid w:val="008335B5"/>
    <w:rsid w:val="00833E92"/>
    <w:rsid w:val="00840E5C"/>
    <w:rsid w:val="00843362"/>
    <w:rsid w:val="008433E7"/>
    <w:rsid w:val="0084365B"/>
    <w:rsid w:val="008444DF"/>
    <w:rsid w:val="00845085"/>
    <w:rsid w:val="00846033"/>
    <w:rsid w:val="00846544"/>
    <w:rsid w:val="00850B46"/>
    <w:rsid w:val="00851355"/>
    <w:rsid w:val="0085285A"/>
    <w:rsid w:val="00853713"/>
    <w:rsid w:val="008563E8"/>
    <w:rsid w:val="00856984"/>
    <w:rsid w:val="00857BF8"/>
    <w:rsid w:val="00860CE6"/>
    <w:rsid w:val="00860F34"/>
    <w:rsid w:val="00861AAD"/>
    <w:rsid w:val="00862B04"/>
    <w:rsid w:val="00863850"/>
    <w:rsid w:val="0086458F"/>
    <w:rsid w:val="0086513A"/>
    <w:rsid w:val="00866A9C"/>
    <w:rsid w:val="0087284D"/>
    <w:rsid w:val="00872D12"/>
    <w:rsid w:val="00873CC1"/>
    <w:rsid w:val="00873EEB"/>
    <w:rsid w:val="00873FA4"/>
    <w:rsid w:val="00875631"/>
    <w:rsid w:val="00877694"/>
    <w:rsid w:val="00877E21"/>
    <w:rsid w:val="0088048C"/>
    <w:rsid w:val="00881847"/>
    <w:rsid w:val="008828D5"/>
    <w:rsid w:val="00882C70"/>
    <w:rsid w:val="008858C8"/>
    <w:rsid w:val="00885BDE"/>
    <w:rsid w:val="00886BA5"/>
    <w:rsid w:val="008873AF"/>
    <w:rsid w:val="0089137C"/>
    <w:rsid w:val="00891C0F"/>
    <w:rsid w:val="008921CA"/>
    <w:rsid w:val="00892C86"/>
    <w:rsid w:val="00894039"/>
    <w:rsid w:val="00896ADE"/>
    <w:rsid w:val="008975A9"/>
    <w:rsid w:val="008A16DC"/>
    <w:rsid w:val="008A2209"/>
    <w:rsid w:val="008A2CE0"/>
    <w:rsid w:val="008A3AFF"/>
    <w:rsid w:val="008A3CE0"/>
    <w:rsid w:val="008A3F6A"/>
    <w:rsid w:val="008A47D5"/>
    <w:rsid w:val="008A6313"/>
    <w:rsid w:val="008B0F62"/>
    <w:rsid w:val="008B176A"/>
    <w:rsid w:val="008B4316"/>
    <w:rsid w:val="008B497C"/>
    <w:rsid w:val="008B4CA7"/>
    <w:rsid w:val="008B7A27"/>
    <w:rsid w:val="008C01B2"/>
    <w:rsid w:val="008C05F6"/>
    <w:rsid w:val="008C27DA"/>
    <w:rsid w:val="008C2EAA"/>
    <w:rsid w:val="008C3DA3"/>
    <w:rsid w:val="008C7AC0"/>
    <w:rsid w:val="008D0313"/>
    <w:rsid w:val="008D1628"/>
    <w:rsid w:val="008D6788"/>
    <w:rsid w:val="008D6CCE"/>
    <w:rsid w:val="008D76EA"/>
    <w:rsid w:val="008E0099"/>
    <w:rsid w:val="008E0325"/>
    <w:rsid w:val="008E08C5"/>
    <w:rsid w:val="008E3B31"/>
    <w:rsid w:val="008E55BA"/>
    <w:rsid w:val="008E57B6"/>
    <w:rsid w:val="008E5F84"/>
    <w:rsid w:val="008F0945"/>
    <w:rsid w:val="008F0D30"/>
    <w:rsid w:val="008F2CA3"/>
    <w:rsid w:val="008F303E"/>
    <w:rsid w:val="008F330C"/>
    <w:rsid w:val="008F33D6"/>
    <w:rsid w:val="008F343E"/>
    <w:rsid w:val="008F4303"/>
    <w:rsid w:val="008F5320"/>
    <w:rsid w:val="00900301"/>
    <w:rsid w:val="009016D8"/>
    <w:rsid w:val="00901C98"/>
    <w:rsid w:val="009023D5"/>
    <w:rsid w:val="00902C51"/>
    <w:rsid w:val="009043CE"/>
    <w:rsid w:val="00905310"/>
    <w:rsid w:val="00905F60"/>
    <w:rsid w:val="00910110"/>
    <w:rsid w:val="00910853"/>
    <w:rsid w:val="0091148C"/>
    <w:rsid w:val="00912A52"/>
    <w:rsid w:val="009136A1"/>
    <w:rsid w:val="00913F74"/>
    <w:rsid w:val="00914B3F"/>
    <w:rsid w:val="00914EF5"/>
    <w:rsid w:val="00915807"/>
    <w:rsid w:val="00923102"/>
    <w:rsid w:val="00925CE8"/>
    <w:rsid w:val="00926368"/>
    <w:rsid w:val="00927C9A"/>
    <w:rsid w:val="00927EC5"/>
    <w:rsid w:val="00931BB6"/>
    <w:rsid w:val="00932D2F"/>
    <w:rsid w:val="00933212"/>
    <w:rsid w:val="00933884"/>
    <w:rsid w:val="00933985"/>
    <w:rsid w:val="0093467F"/>
    <w:rsid w:val="00934A52"/>
    <w:rsid w:val="00934C6A"/>
    <w:rsid w:val="00935249"/>
    <w:rsid w:val="00935FAE"/>
    <w:rsid w:val="0093603A"/>
    <w:rsid w:val="009367C2"/>
    <w:rsid w:val="00940333"/>
    <w:rsid w:val="009411CF"/>
    <w:rsid w:val="0094270E"/>
    <w:rsid w:val="0094553C"/>
    <w:rsid w:val="00946A66"/>
    <w:rsid w:val="0095022A"/>
    <w:rsid w:val="00951918"/>
    <w:rsid w:val="00951A1D"/>
    <w:rsid w:val="00956499"/>
    <w:rsid w:val="0095742A"/>
    <w:rsid w:val="009575C8"/>
    <w:rsid w:val="0096253A"/>
    <w:rsid w:val="00964632"/>
    <w:rsid w:val="00964B3A"/>
    <w:rsid w:val="00965152"/>
    <w:rsid w:val="00965A6F"/>
    <w:rsid w:val="00966B50"/>
    <w:rsid w:val="00972F9E"/>
    <w:rsid w:val="009730C5"/>
    <w:rsid w:val="0097339C"/>
    <w:rsid w:val="00973756"/>
    <w:rsid w:val="0097561E"/>
    <w:rsid w:val="00976026"/>
    <w:rsid w:val="009760D4"/>
    <w:rsid w:val="0097684D"/>
    <w:rsid w:val="00976A36"/>
    <w:rsid w:val="00976FA3"/>
    <w:rsid w:val="009813CD"/>
    <w:rsid w:val="00982048"/>
    <w:rsid w:val="00984A99"/>
    <w:rsid w:val="00986139"/>
    <w:rsid w:val="0098776E"/>
    <w:rsid w:val="009900E8"/>
    <w:rsid w:val="00990E6D"/>
    <w:rsid w:val="0099111B"/>
    <w:rsid w:val="009918CB"/>
    <w:rsid w:val="00991A02"/>
    <w:rsid w:val="009922FA"/>
    <w:rsid w:val="009925FF"/>
    <w:rsid w:val="00992D31"/>
    <w:rsid w:val="0099370A"/>
    <w:rsid w:val="00993FEE"/>
    <w:rsid w:val="00995490"/>
    <w:rsid w:val="00996467"/>
    <w:rsid w:val="009975F9"/>
    <w:rsid w:val="009978BB"/>
    <w:rsid w:val="009A04E8"/>
    <w:rsid w:val="009A10CE"/>
    <w:rsid w:val="009A29A2"/>
    <w:rsid w:val="009A4D16"/>
    <w:rsid w:val="009A6042"/>
    <w:rsid w:val="009A7718"/>
    <w:rsid w:val="009A7BCA"/>
    <w:rsid w:val="009A7D9F"/>
    <w:rsid w:val="009B2F58"/>
    <w:rsid w:val="009B7A79"/>
    <w:rsid w:val="009C0DB2"/>
    <w:rsid w:val="009C2604"/>
    <w:rsid w:val="009C2873"/>
    <w:rsid w:val="009C3499"/>
    <w:rsid w:val="009C3ADB"/>
    <w:rsid w:val="009C47C1"/>
    <w:rsid w:val="009C57C5"/>
    <w:rsid w:val="009C5B16"/>
    <w:rsid w:val="009D0948"/>
    <w:rsid w:val="009D161A"/>
    <w:rsid w:val="009D1F74"/>
    <w:rsid w:val="009D278B"/>
    <w:rsid w:val="009D4EC4"/>
    <w:rsid w:val="009D5562"/>
    <w:rsid w:val="009D6549"/>
    <w:rsid w:val="009E08BF"/>
    <w:rsid w:val="009E2E5F"/>
    <w:rsid w:val="009E31D3"/>
    <w:rsid w:val="009E34E5"/>
    <w:rsid w:val="009E398A"/>
    <w:rsid w:val="009E4B12"/>
    <w:rsid w:val="009E6F0B"/>
    <w:rsid w:val="009E7828"/>
    <w:rsid w:val="009E79CA"/>
    <w:rsid w:val="009F124A"/>
    <w:rsid w:val="009F3C0B"/>
    <w:rsid w:val="009F5424"/>
    <w:rsid w:val="009F5F0C"/>
    <w:rsid w:val="009F605D"/>
    <w:rsid w:val="009F6337"/>
    <w:rsid w:val="009F7162"/>
    <w:rsid w:val="009F7377"/>
    <w:rsid w:val="009F7490"/>
    <w:rsid w:val="00A01B6B"/>
    <w:rsid w:val="00A02B44"/>
    <w:rsid w:val="00A03CD6"/>
    <w:rsid w:val="00A041C4"/>
    <w:rsid w:val="00A05B38"/>
    <w:rsid w:val="00A07AAD"/>
    <w:rsid w:val="00A07AC6"/>
    <w:rsid w:val="00A10210"/>
    <w:rsid w:val="00A102C0"/>
    <w:rsid w:val="00A117EE"/>
    <w:rsid w:val="00A131EA"/>
    <w:rsid w:val="00A151A6"/>
    <w:rsid w:val="00A15223"/>
    <w:rsid w:val="00A16EA6"/>
    <w:rsid w:val="00A21BB9"/>
    <w:rsid w:val="00A228AB"/>
    <w:rsid w:val="00A23402"/>
    <w:rsid w:val="00A25B42"/>
    <w:rsid w:val="00A33CB7"/>
    <w:rsid w:val="00A34071"/>
    <w:rsid w:val="00A341B9"/>
    <w:rsid w:val="00A346E6"/>
    <w:rsid w:val="00A34AA2"/>
    <w:rsid w:val="00A3507B"/>
    <w:rsid w:val="00A35CE2"/>
    <w:rsid w:val="00A36C63"/>
    <w:rsid w:val="00A36EF8"/>
    <w:rsid w:val="00A37254"/>
    <w:rsid w:val="00A3793B"/>
    <w:rsid w:val="00A40BCE"/>
    <w:rsid w:val="00A4107C"/>
    <w:rsid w:val="00A41326"/>
    <w:rsid w:val="00A41FD3"/>
    <w:rsid w:val="00A42A17"/>
    <w:rsid w:val="00A43C5C"/>
    <w:rsid w:val="00A47F26"/>
    <w:rsid w:val="00A52648"/>
    <w:rsid w:val="00A545EC"/>
    <w:rsid w:val="00A54E0E"/>
    <w:rsid w:val="00A55230"/>
    <w:rsid w:val="00A566FE"/>
    <w:rsid w:val="00A600D9"/>
    <w:rsid w:val="00A6068E"/>
    <w:rsid w:val="00A61809"/>
    <w:rsid w:val="00A63C4E"/>
    <w:rsid w:val="00A6529D"/>
    <w:rsid w:val="00A66C03"/>
    <w:rsid w:val="00A70709"/>
    <w:rsid w:val="00A71BEF"/>
    <w:rsid w:val="00A72EB2"/>
    <w:rsid w:val="00A764E5"/>
    <w:rsid w:val="00A76AE1"/>
    <w:rsid w:val="00A77584"/>
    <w:rsid w:val="00A8017B"/>
    <w:rsid w:val="00A8136E"/>
    <w:rsid w:val="00A82BF3"/>
    <w:rsid w:val="00A874C8"/>
    <w:rsid w:val="00A91AD8"/>
    <w:rsid w:val="00A927CF"/>
    <w:rsid w:val="00A9312D"/>
    <w:rsid w:val="00A94BFD"/>
    <w:rsid w:val="00A956DF"/>
    <w:rsid w:val="00A95878"/>
    <w:rsid w:val="00A974D5"/>
    <w:rsid w:val="00A97813"/>
    <w:rsid w:val="00A9790B"/>
    <w:rsid w:val="00AA370C"/>
    <w:rsid w:val="00AA3847"/>
    <w:rsid w:val="00AA3BE1"/>
    <w:rsid w:val="00AA412D"/>
    <w:rsid w:val="00AA45C0"/>
    <w:rsid w:val="00AA47D2"/>
    <w:rsid w:val="00AB04FE"/>
    <w:rsid w:val="00AB114B"/>
    <w:rsid w:val="00AB1C5F"/>
    <w:rsid w:val="00AB2191"/>
    <w:rsid w:val="00AB36D1"/>
    <w:rsid w:val="00AB3D31"/>
    <w:rsid w:val="00AB3FF4"/>
    <w:rsid w:val="00AB466D"/>
    <w:rsid w:val="00AB4CA8"/>
    <w:rsid w:val="00AB4D98"/>
    <w:rsid w:val="00AC1101"/>
    <w:rsid w:val="00AC2799"/>
    <w:rsid w:val="00AC405D"/>
    <w:rsid w:val="00AC50F3"/>
    <w:rsid w:val="00AC6BB0"/>
    <w:rsid w:val="00AD1A76"/>
    <w:rsid w:val="00AD7FBF"/>
    <w:rsid w:val="00AE12CA"/>
    <w:rsid w:val="00AE133F"/>
    <w:rsid w:val="00AE1443"/>
    <w:rsid w:val="00AE1D44"/>
    <w:rsid w:val="00AE2844"/>
    <w:rsid w:val="00AE7452"/>
    <w:rsid w:val="00AE7788"/>
    <w:rsid w:val="00AE7F0C"/>
    <w:rsid w:val="00AF13E0"/>
    <w:rsid w:val="00AF289E"/>
    <w:rsid w:val="00AF5CBE"/>
    <w:rsid w:val="00AF7D4A"/>
    <w:rsid w:val="00B011EE"/>
    <w:rsid w:val="00B014B2"/>
    <w:rsid w:val="00B03078"/>
    <w:rsid w:val="00B0422B"/>
    <w:rsid w:val="00B04411"/>
    <w:rsid w:val="00B07C5B"/>
    <w:rsid w:val="00B11833"/>
    <w:rsid w:val="00B118B8"/>
    <w:rsid w:val="00B14F94"/>
    <w:rsid w:val="00B16A1D"/>
    <w:rsid w:val="00B16E6B"/>
    <w:rsid w:val="00B170D3"/>
    <w:rsid w:val="00B17189"/>
    <w:rsid w:val="00B203DD"/>
    <w:rsid w:val="00B21F16"/>
    <w:rsid w:val="00B23E50"/>
    <w:rsid w:val="00B25587"/>
    <w:rsid w:val="00B271E2"/>
    <w:rsid w:val="00B27370"/>
    <w:rsid w:val="00B30AA0"/>
    <w:rsid w:val="00B3330B"/>
    <w:rsid w:val="00B33334"/>
    <w:rsid w:val="00B33909"/>
    <w:rsid w:val="00B35905"/>
    <w:rsid w:val="00B36325"/>
    <w:rsid w:val="00B36DB0"/>
    <w:rsid w:val="00B37725"/>
    <w:rsid w:val="00B40643"/>
    <w:rsid w:val="00B41A8D"/>
    <w:rsid w:val="00B432D9"/>
    <w:rsid w:val="00B44479"/>
    <w:rsid w:val="00B451B1"/>
    <w:rsid w:val="00B458C4"/>
    <w:rsid w:val="00B46A2D"/>
    <w:rsid w:val="00B47D6E"/>
    <w:rsid w:val="00B502DA"/>
    <w:rsid w:val="00B527C6"/>
    <w:rsid w:val="00B528CA"/>
    <w:rsid w:val="00B54064"/>
    <w:rsid w:val="00B54409"/>
    <w:rsid w:val="00B559CF"/>
    <w:rsid w:val="00B56270"/>
    <w:rsid w:val="00B56C2F"/>
    <w:rsid w:val="00B60B0B"/>
    <w:rsid w:val="00B646EE"/>
    <w:rsid w:val="00B66D25"/>
    <w:rsid w:val="00B722D4"/>
    <w:rsid w:val="00B72984"/>
    <w:rsid w:val="00B72DA9"/>
    <w:rsid w:val="00B7376B"/>
    <w:rsid w:val="00B741BE"/>
    <w:rsid w:val="00B76395"/>
    <w:rsid w:val="00B76D1A"/>
    <w:rsid w:val="00B81031"/>
    <w:rsid w:val="00B86091"/>
    <w:rsid w:val="00B93279"/>
    <w:rsid w:val="00B93C91"/>
    <w:rsid w:val="00B93EA9"/>
    <w:rsid w:val="00BA00A2"/>
    <w:rsid w:val="00BA1048"/>
    <w:rsid w:val="00BA1997"/>
    <w:rsid w:val="00BA1B8E"/>
    <w:rsid w:val="00BA2563"/>
    <w:rsid w:val="00BA2F5F"/>
    <w:rsid w:val="00BA2FC4"/>
    <w:rsid w:val="00BA344E"/>
    <w:rsid w:val="00BA4101"/>
    <w:rsid w:val="00BA4860"/>
    <w:rsid w:val="00BA55BB"/>
    <w:rsid w:val="00BA7FCC"/>
    <w:rsid w:val="00BB0050"/>
    <w:rsid w:val="00BB1732"/>
    <w:rsid w:val="00BB23D7"/>
    <w:rsid w:val="00BB2A84"/>
    <w:rsid w:val="00BB3067"/>
    <w:rsid w:val="00BB3623"/>
    <w:rsid w:val="00BB486B"/>
    <w:rsid w:val="00BB4945"/>
    <w:rsid w:val="00BB5707"/>
    <w:rsid w:val="00BB6D18"/>
    <w:rsid w:val="00BC0C10"/>
    <w:rsid w:val="00BC1B7F"/>
    <w:rsid w:val="00BC3F57"/>
    <w:rsid w:val="00BC594D"/>
    <w:rsid w:val="00BC6831"/>
    <w:rsid w:val="00BC68EB"/>
    <w:rsid w:val="00BC710C"/>
    <w:rsid w:val="00BC7853"/>
    <w:rsid w:val="00BC78FB"/>
    <w:rsid w:val="00BC7940"/>
    <w:rsid w:val="00BD508A"/>
    <w:rsid w:val="00BD5681"/>
    <w:rsid w:val="00BD6143"/>
    <w:rsid w:val="00BD71F1"/>
    <w:rsid w:val="00BE0375"/>
    <w:rsid w:val="00BE0AF0"/>
    <w:rsid w:val="00BE13C2"/>
    <w:rsid w:val="00BE3484"/>
    <w:rsid w:val="00BE3F01"/>
    <w:rsid w:val="00BE5842"/>
    <w:rsid w:val="00BE5A77"/>
    <w:rsid w:val="00BF1DDA"/>
    <w:rsid w:val="00BF4B2C"/>
    <w:rsid w:val="00BF513B"/>
    <w:rsid w:val="00BF5A6A"/>
    <w:rsid w:val="00BF61BE"/>
    <w:rsid w:val="00BF62B5"/>
    <w:rsid w:val="00BF673B"/>
    <w:rsid w:val="00BF7EE6"/>
    <w:rsid w:val="00C007B5"/>
    <w:rsid w:val="00C01CD7"/>
    <w:rsid w:val="00C036C1"/>
    <w:rsid w:val="00C04A6C"/>
    <w:rsid w:val="00C04C32"/>
    <w:rsid w:val="00C05750"/>
    <w:rsid w:val="00C06169"/>
    <w:rsid w:val="00C063DA"/>
    <w:rsid w:val="00C0700B"/>
    <w:rsid w:val="00C07057"/>
    <w:rsid w:val="00C079DF"/>
    <w:rsid w:val="00C103CE"/>
    <w:rsid w:val="00C10D01"/>
    <w:rsid w:val="00C110F1"/>
    <w:rsid w:val="00C12080"/>
    <w:rsid w:val="00C1298A"/>
    <w:rsid w:val="00C172D3"/>
    <w:rsid w:val="00C20449"/>
    <w:rsid w:val="00C2071A"/>
    <w:rsid w:val="00C2212D"/>
    <w:rsid w:val="00C2265B"/>
    <w:rsid w:val="00C22CCF"/>
    <w:rsid w:val="00C232AE"/>
    <w:rsid w:val="00C237B7"/>
    <w:rsid w:val="00C25CD2"/>
    <w:rsid w:val="00C260E9"/>
    <w:rsid w:val="00C26897"/>
    <w:rsid w:val="00C306AA"/>
    <w:rsid w:val="00C30FFF"/>
    <w:rsid w:val="00C3125A"/>
    <w:rsid w:val="00C32416"/>
    <w:rsid w:val="00C33984"/>
    <w:rsid w:val="00C341B9"/>
    <w:rsid w:val="00C35618"/>
    <w:rsid w:val="00C35632"/>
    <w:rsid w:val="00C35699"/>
    <w:rsid w:val="00C37567"/>
    <w:rsid w:val="00C41098"/>
    <w:rsid w:val="00C41634"/>
    <w:rsid w:val="00C42040"/>
    <w:rsid w:val="00C42B2E"/>
    <w:rsid w:val="00C44D0D"/>
    <w:rsid w:val="00C462D3"/>
    <w:rsid w:val="00C466A7"/>
    <w:rsid w:val="00C46DE3"/>
    <w:rsid w:val="00C4701F"/>
    <w:rsid w:val="00C5348C"/>
    <w:rsid w:val="00C53A9C"/>
    <w:rsid w:val="00C54228"/>
    <w:rsid w:val="00C5762F"/>
    <w:rsid w:val="00C60603"/>
    <w:rsid w:val="00C60FA6"/>
    <w:rsid w:val="00C60FB1"/>
    <w:rsid w:val="00C61E99"/>
    <w:rsid w:val="00C62D90"/>
    <w:rsid w:val="00C650E4"/>
    <w:rsid w:val="00C668FD"/>
    <w:rsid w:val="00C67F1A"/>
    <w:rsid w:val="00C70909"/>
    <w:rsid w:val="00C71E15"/>
    <w:rsid w:val="00C72AFE"/>
    <w:rsid w:val="00C74252"/>
    <w:rsid w:val="00C74445"/>
    <w:rsid w:val="00C80830"/>
    <w:rsid w:val="00C8097E"/>
    <w:rsid w:val="00C81B42"/>
    <w:rsid w:val="00C83B9A"/>
    <w:rsid w:val="00C84D15"/>
    <w:rsid w:val="00C90C40"/>
    <w:rsid w:val="00C91FB3"/>
    <w:rsid w:val="00C92B01"/>
    <w:rsid w:val="00C9341B"/>
    <w:rsid w:val="00C94059"/>
    <w:rsid w:val="00C946BF"/>
    <w:rsid w:val="00C94800"/>
    <w:rsid w:val="00C96C68"/>
    <w:rsid w:val="00CA144B"/>
    <w:rsid w:val="00CA2F01"/>
    <w:rsid w:val="00CA3F34"/>
    <w:rsid w:val="00CA52A8"/>
    <w:rsid w:val="00CA6228"/>
    <w:rsid w:val="00CB0523"/>
    <w:rsid w:val="00CB13F4"/>
    <w:rsid w:val="00CB2028"/>
    <w:rsid w:val="00CB217D"/>
    <w:rsid w:val="00CB40F4"/>
    <w:rsid w:val="00CB42FF"/>
    <w:rsid w:val="00CB43B7"/>
    <w:rsid w:val="00CB4F56"/>
    <w:rsid w:val="00CB5EE2"/>
    <w:rsid w:val="00CB6CE4"/>
    <w:rsid w:val="00CC4422"/>
    <w:rsid w:val="00CC6CAD"/>
    <w:rsid w:val="00CC6E2C"/>
    <w:rsid w:val="00CC6FE4"/>
    <w:rsid w:val="00CD0125"/>
    <w:rsid w:val="00CD0B92"/>
    <w:rsid w:val="00CD187B"/>
    <w:rsid w:val="00CD2F76"/>
    <w:rsid w:val="00CD43D6"/>
    <w:rsid w:val="00CD4841"/>
    <w:rsid w:val="00CD4931"/>
    <w:rsid w:val="00CD5346"/>
    <w:rsid w:val="00CD570F"/>
    <w:rsid w:val="00CD598A"/>
    <w:rsid w:val="00CD6910"/>
    <w:rsid w:val="00CD7BE5"/>
    <w:rsid w:val="00CE0F31"/>
    <w:rsid w:val="00CE48D9"/>
    <w:rsid w:val="00CE5D93"/>
    <w:rsid w:val="00CE6771"/>
    <w:rsid w:val="00CE70BA"/>
    <w:rsid w:val="00CF14B1"/>
    <w:rsid w:val="00CF1E69"/>
    <w:rsid w:val="00CF280E"/>
    <w:rsid w:val="00CF4712"/>
    <w:rsid w:val="00CF4E9E"/>
    <w:rsid w:val="00CF5379"/>
    <w:rsid w:val="00CF7678"/>
    <w:rsid w:val="00D0023A"/>
    <w:rsid w:val="00D00854"/>
    <w:rsid w:val="00D01B01"/>
    <w:rsid w:val="00D01EAB"/>
    <w:rsid w:val="00D028D2"/>
    <w:rsid w:val="00D0308C"/>
    <w:rsid w:val="00D05D1C"/>
    <w:rsid w:val="00D11FF8"/>
    <w:rsid w:val="00D13B83"/>
    <w:rsid w:val="00D14AD3"/>
    <w:rsid w:val="00D2002A"/>
    <w:rsid w:val="00D205B4"/>
    <w:rsid w:val="00D22052"/>
    <w:rsid w:val="00D2561B"/>
    <w:rsid w:val="00D265AA"/>
    <w:rsid w:val="00D274B5"/>
    <w:rsid w:val="00D30103"/>
    <w:rsid w:val="00D34621"/>
    <w:rsid w:val="00D34C2F"/>
    <w:rsid w:val="00D3545C"/>
    <w:rsid w:val="00D366B3"/>
    <w:rsid w:val="00D36884"/>
    <w:rsid w:val="00D36887"/>
    <w:rsid w:val="00D36BCA"/>
    <w:rsid w:val="00D373B3"/>
    <w:rsid w:val="00D435A4"/>
    <w:rsid w:val="00D44F79"/>
    <w:rsid w:val="00D45791"/>
    <w:rsid w:val="00D46C8E"/>
    <w:rsid w:val="00D46CA6"/>
    <w:rsid w:val="00D5074F"/>
    <w:rsid w:val="00D50D6B"/>
    <w:rsid w:val="00D5149E"/>
    <w:rsid w:val="00D5273B"/>
    <w:rsid w:val="00D56F70"/>
    <w:rsid w:val="00D576A1"/>
    <w:rsid w:val="00D57ED0"/>
    <w:rsid w:val="00D6205E"/>
    <w:rsid w:val="00D6661E"/>
    <w:rsid w:val="00D67E42"/>
    <w:rsid w:val="00D67EBC"/>
    <w:rsid w:val="00D70027"/>
    <w:rsid w:val="00D71696"/>
    <w:rsid w:val="00D73A6F"/>
    <w:rsid w:val="00D74532"/>
    <w:rsid w:val="00D756DE"/>
    <w:rsid w:val="00D77347"/>
    <w:rsid w:val="00D863C9"/>
    <w:rsid w:val="00D86BEE"/>
    <w:rsid w:val="00D87B55"/>
    <w:rsid w:val="00D923BE"/>
    <w:rsid w:val="00D92BDA"/>
    <w:rsid w:val="00D93764"/>
    <w:rsid w:val="00D93908"/>
    <w:rsid w:val="00D93AFC"/>
    <w:rsid w:val="00D95397"/>
    <w:rsid w:val="00D97195"/>
    <w:rsid w:val="00DA05FD"/>
    <w:rsid w:val="00DA16DA"/>
    <w:rsid w:val="00DA1F31"/>
    <w:rsid w:val="00DA266A"/>
    <w:rsid w:val="00DA2C51"/>
    <w:rsid w:val="00DA5791"/>
    <w:rsid w:val="00DA5A61"/>
    <w:rsid w:val="00DA5BD0"/>
    <w:rsid w:val="00DA6DD4"/>
    <w:rsid w:val="00DA6E80"/>
    <w:rsid w:val="00DA7411"/>
    <w:rsid w:val="00DA7642"/>
    <w:rsid w:val="00DA778F"/>
    <w:rsid w:val="00DB18BC"/>
    <w:rsid w:val="00DB1E68"/>
    <w:rsid w:val="00DB3E8C"/>
    <w:rsid w:val="00DB4A6A"/>
    <w:rsid w:val="00DB4EFD"/>
    <w:rsid w:val="00DB51D7"/>
    <w:rsid w:val="00DB5E89"/>
    <w:rsid w:val="00DB6EB2"/>
    <w:rsid w:val="00DB6F0E"/>
    <w:rsid w:val="00DC0ADA"/>
    <w:rsid w:val="00DC0D03"/>
    <w:rsid w:val="00DC0E12"/>
    <w:rsid w:val="00DC173A"/>
    <w:rsid w:val="00DC3108"/>
    <w:rsid w:val="00DC4560"/>
    <w:rsid w:val="00DC509C"/>
    <w:rsid w:val="00DC63F2"/>
    <w:rsid w:val="00DC6880"/>
    <w:rsid w:val="00DC6F59"/>
    <w:rsid w:val="00DC73A7"/>
    <w:rsid w:val="00DC7C04"/>
    <w:rsid w:val="00DD1412"/>
    <w:rsid w:val="00DD3842"/>
    <w:rsid w:val="00DD3DDB"/>
    <w:rsid w:val="00DD3F36"/>
    <w:rsid w:val="00DD4284"/>
    <w:rsid w:val="00DD4CBD"/>
    <w:rsid w:val="00DD5968"/>
    <w:rsid w:val="00DD5BCA"/>
    <w:rsid w:val="00DD6B8B"/>
    <w:rsid w:val="00DE0181"/>
    <w:rsid w:val="00DE2B31"/>
    <w:rsid w:val="00DE2CB2"/>
    <w:rsid w:val="00DE596B"/>
    <w:rsid w:val="00DF0F0F"/>
    <w:rsid w:val="00DF0F29"/>
    <w:rsid w:val="00DF0F50"/>
    <w:rsid w:val="00DF2B68"/>
    <w:rsid w:val="00DF32DB"/>
    <w:rsid w:val="00DF4408"/>
    <w:rsid w:val="00DF69F6"/>
    <w:rsid w:val="00E01FCC"/>
    <w:rsid w:val="00E04135"/>
    <w:rsid w:val="00E04AF1"/>
    <w:rsid w:val="00E05A5D"/>
    <w:rsid w:val="00E10455"/>
    <w:rsid w:val="00E10859"/>
    <w:rsid w:val="00E11936"/>
    <w:rsid w:val="00E11D7B"/>
    <w:rsid w:val="00E16715"/>
    <w:rsid w:val="00E17834"/>
    <w:rsid w:val="00E17935"/>
    <w:rsid w:val="00E21671"/>
    <w:rsid w:val="00E22869"/>
    <w:rsid w:val="00E25C78"/>
    <w:rsid w:val="00E27EED"/>
    <w:rsid w:val="00E30525"/>
    <w:rsid w:val="00E31338"/>
    <w:rsid w:val="00E313FA"/>
    <w:rsid w:val="00E326F9"/>
    <w:rsid w:val="00E337AC"/>
    <w:rsid w:val="00E352CD"/>
    <w:rsid w:val="00E36036"/>
    <w:rsid w:val="00E37312"/>
    <w:rsid w:val="00E41427"/>
    <w:rsid w:val="00E4280D"/>
    <w:rsid w:val="00E43C9D"/>
    <w:rsid w:val="00E45375"/>
    <w:rsid w:val="00E4622D"/>
    <w:rsid w:val="00E52AB3"/>
    <w:rsid w:val="00E53884"/>
    <w:rsid w:val="00E55057"/>
    <w:rsid w:val="00E5588D"/>
    <w:rsid w:val="00E5687A"/>
    <w:rsid w:val="00E5694F"/>
    <w:rsid w:val="00E56F66"/>
    <w:rsid w:val="00E617F2"/>
    <w:rsid w:val="00E62813"/>
    <w:rsid w:val="00E63072"/>
    <w:rsid w:val="00E63E25"/>
    <w:rsid w:val="00E6415D"/>
    <w:rsid w:val="00E643E0"/>
    <w:rsid w:val="00E64D18"/>
    <w:rsid w:val="00E6710A"/>
    <w:rsid w:val="00E6736C"/>
    <w:rsid w:val="00E717C4"/>
    <w:rsid w:val="00E71A68"/>
    <w:rsid w:val="00E7273F"/>
    <w:rsid w:val="00E727F8"/>
    <w:rsid w:val="00E738A4"/>
    <w:rsid w:val="00E73A58"/>
    <w:rsid w:val="00E74017"/>
    <w:rsid w:val="00E74107"/>
    <w:rsid w:val="00E74462"/>
    <w:rsid w:val="00E746A2"/>
    <w:rsid w:val="00E7581E"/>
    <w:rsid w:val="00E75CF4"/>
    <w:rsid w:val="00E7623C"/>
    <w:rsid w:val="00E7684F"/>
    <w:rsid w:val="00E77E65"/>
    <w:rsid w:val="00E84323"/>
    <w:rsid w:val="00E8498E"/>
    <w:rsid w:val="00E85BDE"/>
    <w:rsid w:val="00E87F17"/>
    <w:rsid w:val="00E909D5"/>
    <w:rsid w:val="00E90A79"/>
    <w:rsid w:val="00E91B0E"/>
    <w:rsid w:val="00E91CB3"/>
    <w:rsid w:val="00E93B8E"/>
    <w:rsid w:val="00E93F5E"/>
    <w:rsid w:val="00E94093"/>
    <w:rsid w:val="00E94439"/>
    <w:rsid w:val="00E95BA7"/>
    <w:rsid w:val="00E97CC0"/>
    <w:rsid w:val="00EA24F6"/>
    <w:rsid w:val="00EA448B"/>
    <w:rsid w:val="00EA51F3"/>
    <w:rsid w:val="00EA65B4"/>
    <w:rsid w:val="00EA79C4"/>
    <w:rsid w:val="00EB0472"/>
    <w:rsid w:val="00EB1ED3"/>
    <w:rsid w:val="00EB20BE"/>
    <w:rsid w:val="00EB36E2"/>
    <w:rsid w:val="00EB3D3A"/>
    <w:rsid w:val="00EB3DB2"/>
    <w:rsid w:val="00EB4675"/>
    <w:rsid w:val="00EB46C9"/>
    <w:rsid w:val="00EB680C"/>
    <w:rsid w:val="00EB70A5"/>
    <w:rsid w:val="00EC0204"/>
    <w:rsid w:val="00EC28D3"/>
    <w:rsid w:val="00EC30DD"/>
    <w:rsid w:val="00EC50A7"/>
    <w:rsid w:val="00EC5C53"/>
    <w:rsid w:val="00EC6F76"/>
    <w:rsid w:val="00EC7778"/>
    <w:rsid w:val="00EC7A96"/>
    <w:rsid w:val="00ED048B"/>
    <w:rsid w:val="00ED0707"/>
    <w:rsid w:val="00ED4228"/>
    <w:rsid w:val="00ED448B"/>
    <w:rsid w:val="00ED46E8"/>
    <w:rsid w:val="00ED4EDF"/>
    <w:rsid w:val="00ED55FB"/>
    <w:rsid w:val="00ED78C2"/>
    <w:rsid w:val="00EE3F9A"/>
    <w:rsid w:val="00EE535E"/>
    <w:rsid w:val="00EE5380"/>
    <w:rsid w:val="00EE5F59"/>
    <w:rsid w:val="00EE6AA7"/>
    <w:rsid w:val="00EE75B5"/>
    <w:rsid w:val="00EE7922"/>
    <w:rsid w:val="00EE7F87"/>
    <w:rsid w:val="00EF013E"/>
    <w:rsid w:val="00EF258F"/>
    <w:rsid w:val="00EF345C"/>
    <w:rsid w:val="00EF48CE"/>
    <w:rsid w:val="00EF4C96"/>
    <w:rsid w:val="00EF5B9A"/>
    <w:rsid w:val="00EF691B"/>
    <w:rsid w:val="00EF6C59"/>
    <w:rsid w:val="00F02109"/>
    <w:rsid w:val="00F0485D"/>
    <w:rsid w:val="00F04A99"/>
    <w:rsid w:val="00F0506F"/>
    <w:rsid w:val="00F06639"/>
    <w:rsid w:val="00F06A97"/>
    <w:rsid w:val="00F06C7D"/>
    <w:rsid w:val="00F109ED"/>
    <w:rsid w:val="00F11571"/>
    <w:rsid w:val="00F118D9"/>
    <w:rsid w:val="00F11ED6"/>
    <w:rsid w:val="00F127F4"/>
    <w:rsid w:val="00F12C8C"/>
    <w:rsid w:val="00F1413A"/>
    <w:rsid w:val="00F15050"/>
    <w:rsid w:val="00F16AA6"/>
    <w:rsid w:val="00F17097"/>
    <w:rsid w:val="00F2024A"/>
    <w:rsid w:val="00F2375B"/>
    <w:rsid w:val="00F2691E"/>
    <w:rsid w:val="00F302BB"/>
    <w:rsid w:val="00F307C8"/>
    <w:rsid w:val="00F30A76"/>
    <w:rsid w:val="00F30C76"/>
    <w:rsid w:val="00F30CB0"/>
    <w:rsid w:val="00F3104E"/>
    <w:rsid w:val="00F3195D"/>
    <w:rsid w:val="00F31D21"/>
    <w:rsid w:val="00F31FAD"/>
    <w:rsid w:val="00F32655"/>
    <w:rsid w:val="00F3412D"/>
    <w:rsid w:val="00F35434"/>
    <w:rsid w:val="00F36714"/>
    <w:rsid w:val="00F411CC"/>
    <w:rsid w:val="00F41ACB"/>
    <w:rsid w:val="00F42505"/>
    <w:rsid w:val="00F43BAD"/>
    <w:rsid w:val="00F4601A"/>
    <w:rsid w:val="00F466F0"/>
    <w:rsid w:val="00F4739D"/>
    <w:rsid w:val="00F503B5"/>
    <w:rsid w:val="00F571F8"/>
    <w:rsid w:val="00F57495"/>
    <w:rsid w:val="00F6087D"/>
    <w:rsid w:val="00F63BE8"/>
    <w:rsid w:val="00F646C2"/>
    <w:rsid w:val="00F656BF"/>
    <w:rsid w:val="00F66008"/>
    <w:rsid w:val="00F66C15"/>
    <w:rsid w:val="00F70806"/>
    <w:rsid w:val="00F70FD9"/>
    <w:rsid w:val="00F71B75"/>
    <w:rsid w:val="00F731EF"/>
    <w:rsid w:val="00F75DF3"/>
    <w:rsid w:val="00F806AE"/>
    <w:rsid w:val="00F80FB5"/>
    <w:rsid w:val="00F82892"/>
    <w:rsid w:val="00F83470"/>
    <w:rsid w:val="00F84EF4"/>
    <w:rsid w:val="00F867AC"/>
    <w:rsid w:val="00F90446"/>
    <w:rsid w:val="00F91C43"/>
    <w:rsid w:val="00F92155"/>
    <w:rsid w:val="00F92EF1"/>
    <w:rsid w:val="00F9506D"/>
    <w:rsid w:val="00F97673"/>
    <w:rsid w:val="00F97BD5"/>
    <w:rsid w:val="00FA1F52"/>
    <w:rsid w:val="00FA297A"/>
    <w:rsid w:val="00FA4481"/>
    <w:rsid w:val="00FA54B3"/>
    <w:rsid w:val="00FA680C"/>
    <w:rsid w:val="00FA71BE"/>
    <w:rsid w:val="00FA7416"/>
    <w:rsid w:val="00FB05E5"/>
    <w:rsid w:val="00FB122F"/>
    <w:rsid w:val="00FB2336"/>
    <w:rsid w:val="00FB2C65"/>
    <w:rsid w:val="00FB34A1"/>
    <w:rsid w:val="00FB38E5"/>
    <w:rsid w:val="00FB7593"/>
    <w:rsid w:val="00FC02CA"/>
    <w:rsid w:val="00FC092F"/>
    <w:rsid w:val="00FC0E88"/>
    <w:rsid w:val="00FC184F"/>
    <w:rsid w:val="00FC2195"/>
    <w:rsid w:val="00FC4244"/>
    <w:rsid w:val="00FC5139"/>
    <w:rsid w:val="00FC51A7"/>
    <w:rsid w:val="00FC6694"/>
    <w:rsid w:val="00FC6EE3"/>
    <w:rsid w:val="00FC7B42"/>
    <w:rsid w:val="00FD04DD"/>
    <w:rsid w:val="00FD436E"/>
    <w:rsid w:val="00FD77B5"/>
    <w:rsid w:val="00FE0E50"/>
    <w:rsid w:val="00FE1A4E"/>
    <w:rsid w:val="00FE1A83"/>
    <w:rsid w:val="00FE1E84"/>
    <w:rsid w:val="00FE2F97"/>
    <w:rsid w:val="00FE493A"/>
    <w:rsid w:val="00FE4EA2"/>
    <w:rsid w:val="00FE57D5"/>
    <w:rsid w:val="00FE5C2E"/>
    <w:rsid w:val="00FE6AC3"/>
    <w:rsid w:val="00FE70C4"/>
    <w:rsid w:val="00FE7DC9"/>
    <w:rsid w:val="00FF4403"/>
    <w:rsid w:val="00FF4BA4"/>
    <w:rsid w:val="00FF6D83"/>
    <w:rsid w:val="010E78FF"/>
    <w:rsid w:val="03410DA5"/>
    <w:rsid w:val="04523256"/>
    <w:rsid w:val="05540DF4"/>
    <w:rsid w:val="05A624A1"/>
    <w:rsid w:val="05F07A1A"/>
    <w:rsid w:val="075463FE"/>
    <w:rsid w:val="078A2181"/>
    <w:rsid w:val="092E4967"/>
    <w:rsid w:val="09B667D3"/>
    <w:rsid w:val="0AFC2E51"/>
    <w:rsid w:val="0AFF74AC"/>
    <w:rsid w:val="0BE7300C"/>
    <w:rsid w:val="0C0B4AE1"/>
    <w:rsid w:val="0C5B0590"/>
    <w:rsid w:val="0CA42B09"/>
    <w:rsid w:val="0E370B89"/>
    <w:rsid w:val="0EC341CA"/>
    <w:rsid w:val="0F193975"/>
    <w:rsid w:val="0F276507"/>
    <w:rsid w:val="113E72B4"/>
    <w:rsid w:val="11720247"/>
    <w:rsid w:val="12851EC3"/>
    <w:rsid w:val="13333D78"/>
    <w:rsid w:val="13DF1813"/>
    <w:rsid w:val="15162103"/>
    <w:rsid w:val="156A5A5A"/>
    <w:rsid w:val="15EB5E41"/>
    <w:rsid w:val="16727F35"/>
    <w:rsid w:val="170D17FE"/>
    <w:rsid w:val="17863421"/>
    <w:rsid w:val="188678B5"/>
    <w:rsid w:val="18F2565D"/>
    <w:rsid w:val="19DC2377"/>
    <w:rsid w:val="1AA42CCF"/>
    <w:rsid w:val="1BDB2B53"/>
    <w:rsid w:val="1C19480C"/>
    <w:rsid w:val="1C260F62"/>
    <w:rsid w:val="1C475483"/>
    <w:rsid w:val="1D637931"/>
    <w:rsid w:val="1E022991"/>
    <w:rsid w:val="1E973F4A"/>
    <w:rsid w:val="1EB3718E"/>
    <w:rsid w:val="1F262338"/>
    <w:rsid w:val="1F484D62"/>
    <w:rsid w:val="222D60D3"/>
    <w:rsid w:val="237D4851"/>
    <w:rsid w:val="23CC3C5D"/>
    <w:rsid w:val="240C4A55"/>
    <w:rsid w:val="2561056D"/>
    <w:rsid w:val="267C3676"/>
    <w:rsid w:val="26E805F0"/>
    <w:rsid w:val="27BA6430"/>
    <w:rsid w:val="28344C2B"/>
    <w:rsid w:val="2880568B"/>
    <w:rsid w:val="28902F18"/>
    <w:rsid w:val="29B80978"/>
    <w:rsid w:val="2A3D2C2B"/>
    <w:rsid w:val="2A4F0754"/>
    <w:rsid w:val="2AE337D3"/>
    <w:rsid w:val="2C31056E"/>
    <w:rsid w:val="2CA9001B"/>
    <w:rsid w:val="2D9708A4"/>
    <w:rsid w:val="2DE56E73"/>
    <w:rsid w:val="2E1A71B1"/>
    <w:rsid w:val="2E8F7E61"/>
    <w:rsid w:val="3025300D"/>
    <w:rsid w:val="305B0925"/>
    <w:rsid w:val="30CA4740"/>
    <w:rsid w:val="32585D2D"/>
    <w:rsid w:val="32C57E53"/>
    <w:rsid w:val="32FA17E7"/>
    <w:rsid w:val="331B6ED3"/>
    <w:rsid w:val="33374644"/>
    <w:rsid w:val="336932CF"/>
    <w:rsid w:val="349570D1"/>
    <w:rsid w:val="34CD5B64"/>
    <w:rsid w:val="351C56F1"/>
    <w:rsid w:val="35EB36EB"/>
    <w:rsid w:val="36054F45"/>
    <w:rsid w:val="366B39CC"/>
    <w:rsid w:val="36721293"/>
    <w:rsid w:val="36AF712E"/>
    <w:rsid w:val="376F1B93"/>
    <w:rsid w:val="37FB632E"/>
    <w:rsid w:val="39D50AD3"/>
    <w:rsid w:val="3C6B0BCA"/>
    <w:rsid w:val="3C9C1A33"/>
    <w:rsid w:val="3D356C89"/>
    <w:rsid w:val="3EA445F1"/>
    <w:rsid w:val="3F237562"/>
    <w:rsid w:val="400523A7"/>
    <w:rsid w:val="40B445FE"/>
    <w:rsid w:val="41770E66"/>
    <w:rsid w:val="421234BD"/>
    <w:rsid w:val="42AE59C8"/>
    <w:rsid w:val="43000F6E"/>
    <w:rsid w:val="436A2C23"/>
    <w:rsid w:val="469B0FAE"/>
    <w:rsid w:val="47AF62F5"/>
    <w:rsid w:val="480F2767"/>
    <w:rsid w:val="484E5CBB"/>
    <w:rsid w:val="489469ED"/>
    <w:rsid w:val="4A58168F"/>
    <w:rsid w:val="4BE33F84"/>
    <w:rsid w:val="4D1612AE"/>
    <w:rsid w:val="4DB93F59"/>
    <w:rsid w:val="4DCE5621"/>
    <w:rsid w:val="4E6459BC"/>
    <w:rsid w:val="4E712D20"/>
    <w:rsid w:val="4F7C18E2"/>
    <w:rsid w:val="4FE27016"/>
    <w:rsid w:val="50C01930"/>
    <w:rsid w:val="50D33029"/>
    <w:rsid w:val="50EE67A7"/>
    <w:rsid w:val="51586419"/>
    <w:rsid w:val="51750D79"/>
    <w:rsid w:val="524772D0"/>
    <w:rsid w:val="52670643"/>
    <w:rsid w:val="53234805"/>
    <w:rsid w:val="5338205E"/>
    <w:rsid w:val="53C35821"/>
    <w:rsid w:val="54190734"/>
    <w:rsid w:val="543D53A9"/>
    <w:rsid w:val="54A40600"/>
    <w:rsid w:val="550240DE"/>
    <w:rsid w:val="550E1529"/>
    <w:rsid w:val="56262642"/>
    <w:rsid w:val="566A59E2"/>
    <w:rsid w:val="56A530AE"/>
    <w:rsid w:val="56EE552A"/>
    <w:rsid w:val="57D83E10"/>
    <w:rsid w:val="58F7087D"/>
    <w:rsid w:val="5944252E"/>
    <w:rsid w:val="59887A09"/>
    <w:rsid w:val="59A2303D"/>
    <w:rsid w:val="5A0C5F34"/>
    <w:rsid w:val="5AA558DB"/>
    <w:rsid w:val="5B212D92"/>
    <w:rsid w:val="5B805972"/>
    <w:rsid w:val="5BC42F48"/>
    <w:rsid w:val="5CCC128D"/>
    <w:rsid w:val="5F1D496E"/>
    <w:rsid w:val="5F780CB8"/>
    <w:rsid w:val="5F8D352C"/>
    <w:rsid w:val="615004FA"/>
    <w:rsid w:val="615B4253"/>
    <w:rsid w:val="61B40758"/>
    <w:rsid w:val="63027E99"/>
    <w:rsid w:val="63805640"/>
    <w:rsid w:val="659064ED"/>
    <w:rsid w:val="66520C38"/>
    <w:rsid w:val="66FE5F4E"/>
    <w:rsid w:val="67A57B3A"/>
    <w:rsid w:val="68231C2E"/>
    <w:rsid w:val="68721717"/>
    <w:rsid w:val="689F33E8"/>
    <w:rsid w:val="68A95B40"/>
    <w:rsid w:val="69565A87"/>
    <w:rsid w:val="6A0F0DE7"/>
    <w:rsid w:val="6BE80C21"/>
    <w:rsid w:val="6C406AC9"/>
    <w:rsid w:val="6CD24E7A"/>
    <w:rsid w:val="6CD75145"/>
    <w:rsid w:val="6D6C483E"/>
    <w:rsid w:val="6D7D02CE"/>
    <w:rsid w:val="6DBB7DEE"/>
    <w:rsid w:val="6F821B73"/>
    <w:rsid w:val="7039308D"/>
    <w:rsid w:val="70893AD2"/>
    <w:rsid w:val="72847F4A"/>
    <w:rsid w:val="7398378D"/>
    <w:rsid w:val="747D391D"/>
    <w:rsid w:val="74B35591"/>
    <w:rsid w:val="74FF3184"/>
    <w:rsid w:val="755420B8"/>
    <w:rsid w:val="765336FE"/>
    <w:rsid w:val="769A4CD3"/>
    <w:rsid w:val="76B85092"/>
    <w:rsid w:val="770547BF"/>
    <w:rsid w:val="771163BF"/>
    <w:rsid w:val="777D59E2"/>
    <w:rsid w:val="77A86F03"/>
    <w:rsid w:val="78A70F68"/>
    <w:rsid w:val="79083BF1"/>
    <w:rsid w:val="799B65F3"/>
    <w:rsid w:val="7A0917AF"/>
    <w:rsid w:val="7A3067C8"/>
    <w:rsid w:val="7B1A3A18"/>
    <w:rsid w:val="7C3310DC"/>
    <w:rsid w:val="7CAC13FC"/>
    <w:rsid w:val="7CDB6B0C"/>
    <w:rsid w:val="7D0B721A"/>
    <w:rsid w:val="7D0F2B85"/>
    <w:rsid w:val="7D1042E3"/>
    <w:rsid w:val="7D1743C0"/>
    <w:rsid w:val="7D3B7173"/>
    <w:rsid w:val="7DFD162B"/>
    <w:rsid w:val="7E190636"/>
    <w:rsid w:val="7E314FC1"/>
    <w:rsid w:val="7E9B2354"/>
    <w:rsid w:val="7FE96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qFormat/>
    <w:uiPriority w:val="0"/>
    <w:pPr>
      <w:ind w:firstLine="420"/>
    </w:pPr>
    <w:rPr>
      <w:rFonts w:ascii="宋体" w:hAnsi="宋体"/>
      <w:szCs w:val="20"/>
    </w:rPr>
  </w:style>
  <w:style w:type="paragraph" w:styleId="4">
    <w:name w:val="Date"/>
    <w:basedOn w:val="1"/>
    <w:next w:val="1"/>
    <w:qFormat/>
    <w:uiPriority w:val="0"/>
    <w:pPr>
      <w:ind w:left="100" w:leftChars="2500"/>
    </w:pPr>
  </w:style>
  <w:style w:type="paragraph" w:styleId="5">
    <w:name w:val="footer"/>
    <w:basedOn w:val="1"/>
    <w:link w:val="15"/>
    <w:qFormat/>
    <w:uiPriority w:val="99"/>
    <w:pPr>
      <w:tabs>
        <w:tab w:val="center" w:pos="4153"/>
        <w:tab w:val="right" w:pos="8306"/>
      </w:tabs>
      <w:snapToGrid w:val="0"/>
      <w:jc w:val="left"/>
    </w:pPr>
    <w:rPr>
      <w:sz w:val="18"/>
      <w:szCs w:val="18"/>
      <w:lang w:val="zh-CN" w:eastAsia="zh-CN"/>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lang w:val="zh-CN" w:eastAsia="zh-CN"/>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character" w:styleId="12">
    <w:name w:val="page number"/>
    <w:basedOn w:val="10"/>
    <w:qFormat/>
    <w:uiPriority w:val="0"/>
  </w:style>
  <w:style w:type="character" w:styleId="13">
    <w:name w:val="Emphasis"/>
    <w:qFormat/>
    <w:uiPriority w:val="20"/>
    <w:rPr>
      <w:i/>
      <w:iCs/>
    </w:rPr>
  </w:style>
  <w:style w:type="character" w:customStyle="1" w:styleId="14">
    <w:name w:val="页眉 字符"/>
    <w:link w:val="6"/>
    <w:qFormat/>
    <w:uiPriority w:val="0"/>
    <w:rPr>
      <w:kern w:val="2"/>
      <w:sz w:val="18"/>
      <w:szCs w:val="18"/>
    </w:rPr>
  </w:style>
  <w:style w:type="character" w:customStyle="1" w:styleId="15">
    <w:name w:val="页脚 字符"/>
    <w:link w:val="5"/>
    <w:qFormat/>
    <w:uiPriority w:val="99"/>
    <w:rPr>
      <w:kern w:val="2"/>
      <w:sz w:val="18"/>
      <w:szCs w:val="18"/>
    </w:rPr>
  </w:style>
  <w:style w:type="paragraph" w:customStyle="1" w:styleId="16">
    <w:name w:val="EndNote Bibliography Title"/>
    <w:basedOn w:val="1"/>
    <w:link w:val="17"/>
    <w:uiPriority w:val="0"/>
    <w:pPr>
      <w:jc w:val="center"/>
    </w:pPr>
    <w:rPr>
      <w:sz w:val="20"/>
    </w:rPr>
  </w:style>
  <w:style w:type="character" w:customStyle="1" w:styleId="17">
    <w:name w:val="EndNote Bibliography Title 字符"/>
    <w:link w:val="16"/>
    <w:qFormat/>
    <w:uiPriority w:val="0"/>
    <w:rPr>
      <w:kern w:val="2"/>
      <w:szCs w:val="24"/>
    </w:rPr>
  </w:style>
  <w:style w:type="paragraph" w:customStyle="1" w:styleId="18">
    <w:name w:val="EndNote Bibliography"/>
    <w:basedOn w:val="1"/>
    <w:link w:val="19"/>
    <w:qFormat/>
    <w:uiPriority w:val="0"/>
    <w:rPr>
      <w:sz w:val="20"/>
    </w:rPr>
  </w:style>
  <w:style w:type="character" w:customStyle="1" w:styleId="19">
    <w:name w:val="EndNote Bibliography 字符"/>
    <w:link w:val="18"/>
    <w:qFormat/>
    <w:uiPriority w:val="0"/>
    <w:rPr>
      <w:kern w:val="2"/>
      <w:szCs w:val="24"/>
    </w:rPr>
  </w:style>
  <w:style w:type="character" w:styleId="20">
    <w:name w:val="Placeholder Text"/>
    <w:basedOn w:val="10"/>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23.png"/><Relationship Id="rId5" Type="http://schemas.openxmlformats.org/officeDocument/2006/relationships/footer" Target="footer3.xml"/><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wmf"/><Relationship Id="rId43" Type="http://schemas.openxmlformats.org/officeDocument/2006/relationships/oleObject" Target="embeddings/oleObject17.bin"/><Relationship Id="rId42" Type="http://schemas.openxmlformats.org/officeDocument/2006/relationships/image" Target="media/image16.wmf"/><Relationship Id="rId41" Type="http://schemas.openxmlformats.org/officeDocument/2006/relationships/oleObject" Target="embeddings/oleObject16.bin"/><Relationship Id="rId40" Type="http://schemas.openxmlformats.org/officeDocument/2006/relationships/image" Target="media/image15.wmf"/><Relationship Id="rId4" Type="http://schemas.openxmlformats.org/officeDocument/2006/relationships/footer" Target="footer2.xml"/><Relationship Id="rId39" Type="http://schemas.openxmlformats.org/officeDocument/2006/relationships/oleObject" Target="embeddings/oleObject15.bin"/><Relationship Id="rId38" Type="http://schemas.openxmlformats.org/officeDocument/2006/relationships/image" Target="media/image14.wmf"/><Relationship Id="rId37" Type="http://schemas.openxmlformats.org/officeDocument/2006/relationships/oleObject" Target="embeddings/oleObject14.bin"/><Relationship Id="rId36" Type="http://schemas.openxmlformats.org/officeDocument/2006/relationships/image" Target="media/image13.wmf"/><Relationship Id="rId35" Type="http://schemas.openxmlformats.org/officeDocument/2006/relationships/oleObject" Target="embeddings/oleObject13.bin"/><Relationship Id="rId34" Type="http://schemas.openxmlformats.org/officeDocument/2006/relationships/image" Target="media/image12.wmf"/><Relationship Id="rId33" Type="http://schemas.openxmlformats.org/officeDocument/2006/relationships/oleObject" Target="embeddings/oleObject12.bin"/><Relationship Id="rId32" Type="http://schemas.openxmlformats.org/officeDocument/2006/relationships/oleObject" Target="embeddings/oleObject11.bin"/><Relationship Id="rId31" Type="http://schemas.openxmlformats.org/officeDocument/2006/relationships/oleObject" Target="embeddings/oleObject10.bin"/><Relationship Id="rId30" Type="http://schemas.openxmlformats.org/officeDocument/2006/relationships/image" Target="media/image11.wmf"/><Relationship Id="rId3" Type="http://schemas.openxmlformats.org/officeDocument/2006/relationships/footer" Target="footer1.xml"/><Relationship Id="rId29" Type="http://schemas.openxmlformats.org/officeDocument/2006/relationships/oleObject" Target="embeddings/oleObject9.bin"/><Relationship Id="rId28" Type="http://schemas.openxmlformats.org/officeDocument/2006/relationships/image" Target="media/image10.wmf"/><Relationship Id="rId27" Type="http://schemas.openxmlformats.org/officeDocument/2006/relationships/oleObject" Target="embeddings/oleObject8.bin"/><Relationship Id="rId26" Type="http://schemas.openxmlformats.org/officeDocument/2006/relationships/image" Target="media/image9.wmf"/><Relationship Id="rId25" Type="http://schemas.openxmlformats.org/officeDocument/2006/relationships/oleObject" Target="embeddings/oleObject7.bin"/><Relationship Id="rId24" Type="http://schemas.openxmlformats.org/officeDocument/2006/relationships/image" Target="media/image8.wmf"/><Relationship Id="rId23" Type="http://schemas.openxmlformats.org/officeDocument/2006/relationships/oleObject" Target="embeddings/oleObject6.bin"/><Relationship Id="rId22" Type="http://schemas.openxmlformats.org/officeDocument/2006/relationships/image" Target="media/image7.wmf"/><Relationship Id="rId21" Type="http://schemas.openxmlformats.org/officeDocument/2006/relationships/oleObject" Target="embeddings/oleObject5.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5.wmf"/><Relationship Id="rId17" Type="http://schemas.openxmlformats.org/officeDocument/2006/relationships/oleObject" Target="embeddings/oleObject3.bin"/><Relationship Id="rId16" Type="http://schemas.openxmlformats.org/officeDocument/2006/relationships/image" Target="media/image4.wmf"/><Relationship Id="rId15" Type="http://schemas.openxmlformats.org/officeDocument/2006/relationships/oleObject" Target="embeddings/oleObject2.bin"/><Relationship Id="rId14" Type="http://schemas.openxmlformats.org/officeDocument/2006/relationships/image" Target="media/image3.png"/><Relationship Id="rId13" Type="http://schemas.openxmlformats.org/officeDocument/2006/relationships/image" Target="media/image2.wmf"/><Relationship Id="rId12" Type="http://schemas.openxmlformats.org/officeDocument/2006/relationships/oleObject" Target="embeddings/oleObject1.bin"/><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6FE287-FC98-4F66-A6E1-4C38A0D17A5B}">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33</Pages>
  <Words>14707</Words>
  <Characters>83834</Characters>
  <Lines>698</Lines>
  <Paragraphs>196</Paragraphs>
  <TotalTime>141</TotalTime>
  <ScaleCrop>false</ScaleCrop>
  <LinksUpToDate>false</LinksUpToDate>
  <CharactersWithSpaces>98345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2022-11-06T02:18:00Z</dcterms:created>
  <dc:creator>jgq</dc:creator>
  <cp:lastModifiedBy>ck</cp:lastModifiedBy>
  <cp:lastPrinted>2022-11-24T07:18:00Z</cp:lastPrinted>
  <dcterms:modified xsi:type="dcterms:W3CDTF">2023-11-07T03:45:13Z</dcterms:modified>
  <dc:title>关于做好2011级全日制硕士学位研究生开题工作的通知</dc:title>
  <cp:revision>612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4D45E0221C574BDFBECD84CC1A47234F_13</vt:lpwstr>
  </property>
</Properties>
</file>