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0"/>
      </w:pPr>
      <w:r>
        <w:t xml:space="preserve"/>
      </w:r>
    </w:p>
    <w:p>
      <w:pPr>
        <w:spacing w:before="0" w:after="40"/>
        <w:jc w:val="center"/>
      </w:pPr>
      <w:r>
        <w:rPr>
          <w:rFonts w:ascii="Segoe UI Emoji" w:cs="Segoe UI Emoji" w:eastAsia="Segoe UI Emoji" w:hAnsi="Segoe UI Emoji"/>
          <w:sz w:val="120"/>
          <w:szCs w:val="120"/>
        </w:rPr>
        <w:t xml:space="preserve">🥦</w:t>
      </w:r>
    </w:p>
    <w:p>
      <w:pPr>
        <w:spacing w:before="0" w:after="4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NutriTrack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(nombre provisional)</w:t>
      </w:r>
    </w:p>
    <w:p>
      <w:pPr>
        <w:pBdr>
          <w:bottom w:val="single" w:color="0D9488" w:sz="4" w:space="6"/>
        </w:pBdr>
        <w:spacing w:before="0" w:after="120"/>
        <w:jc w:val="center"/>
      </w:pPr>
      <w:r>
        <w:rPr>
          <w:rFonts w:ascii="Arial" w:cs="Arial" w:eastAsia="Arial" w:hAnsi="Arial"/>
          <w:b/>
          <w:bCs/>
          <w:color w:val="0D9488"/>
          <w:sz w:val="36"/>
          <w:szCs w:val="36"/>
        </w:rPr>
        <w:t xml:space="preserve">PLAN MAESTRO DE DESARROLLO</w:t>
      </w:r>
    </w:p>
    <w:p>
      <w:pPr>
        <w:spacing w:before="0" w:after="12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Spec-Driven Development · SDD DevFlow · Claude Code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Versión 1.0  ·  Marzo 2026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Documento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Plan Maestro de Desarrollo — NutriTrack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7415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Borrador — v1.0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7415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Metodología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Spec-Driven Development (SDD) + TDD + Human-in-the-Loop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7415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Herramientas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sdd-devflow (pbojeda) · Claude Code · GitHub · Railway/Render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7415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Stack base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Node.js + TypeScript · Fastify · Prisma + Kysely · PostgreSQL + pgvector · Redis · Next.js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7415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Referencia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nutritrack-prd.md · nutritrack-db-diagram.md · nutritrack-market-research.md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5C" w:sz="6" w:space="4"/>
        </w:pBdr>
        <w:spacing w:before="480" w:after="160"/>
      </w:pPr>
      <w:r>
        <w:rPr>
          <w:rFonts w:ascii="Arial" w:cs="Arial" w:eastAsia="Arial" w:hAnsi="Arial"/>
          <w:b/>
          <w:bCs/>
          <w:color w:val="1B3A5C"/>
          <w:sz w:val="38"/>
          <w:szCs w:val="38"/>
        </w:rPr>
        <w:t xml:space="preserve">0. Cómo leer este documento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Este plan no es una lista de tareas. Es la hoja de ruta completa que combina estrategia de producto, metodología de desarrollo y secuenciación técnica en un único documento de referencia. Está diseñado para ser leído de arriba a abajo la primera vez y consultado por sección en el día a día.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0.1 Estructura del plan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Sección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Propósito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Principios y metodología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El "por qué" y el "cómo" de todo lo que sigue. Leer una vez, interiorizar para siempre.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Setup inicial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Checklist de arranque del proyecto. Se ejecuta una sola vez en el día 0.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Estructura de especificaciones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Cómo se organizan los docs de specs. Base de todo el SDD.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Fase 1 — Bot MVP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Plan detallado de la Fase 1. Épicas, features, tickets, dependencias, riesgos.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Fase 2 — Web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Plan de Fase 2 con prelanzamiento incluido.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Fase 3 — Móvil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Plan de Fase 3 y preparación para escala.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Pendientes estratégicos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Decisiones abiertas que necesitan definición antes de avanzar.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Gestión de riesgos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Mapa de riesgos por categoría con mitigación concreta.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Criterios de éxito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KPIs por fase con targets y métodos de medición.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Bdr>
          <w:top w:val="single" w:color="B45309" w:sz="2"/>
          <w:bottom w:val="single" w:color="B45309" w:sz="2"/>
          <w:left w:val="single" w:color="B45309" w:sz="14" w:space="0"/>
          <w:right w:val="single" w:color="B45309" w:sz="2"/>
        </w:pBdr>
        <w:shd w:fill="FFFBEB" w:val="clear"/>
        <w:spacing w:before="80" w:after="80"/>
        <w:ind w:left="200" w:right="20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⚠ IMPORTANTE: Nombre "NutriTrack" usado como placeholder en todo el documento. El nombre, branding, modelo de negocio y plan de marketing están pendientes de definición y no bloquean el inicio del desarrollo técnico.</w:t>
      </w:r>
    </w:p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5C" w:sz="6" w:space="4"/>
        </w:pBdr>
        <w:spacing w:before="480" w:after="160"/>
      </w:pPr>
      <w:r>
        <w:rPr>
          <w:rFonts w:ascii="Arial" w:cs="Arial" w:eastAsia="Arial" w:hAnsi="Arial"/>
          <w:b/>
          <w:bCs/>
          <w:color w:val="1B3A5C"/>
          <w:sz w:val="38"/>
          <w:szCs w:val="38"/>
        </w:rPr>
        <w:t xml:space="preserve">1. Principios y metodología</w:t>
      </w:r>
    </w:p>
    <w:p>
      <w:pPr>
        <w:spacing w:before="0" w:after="4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1.1 Por qué Spec-Driven Development para este proyecto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SDD no es una preferencia estética — es la respuesta correcta a tres problemas concretos de este proyecto: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Problema sin SDD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Solución con SDD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El motor de estimación es el corazón del producto. Si se implementa sin spec, la lógica queda en la cabeza del desarrollador, no en la BD ni en los tests.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Cada nivel del motor (oficial / estimado / extrapolado) tiene su propia spec con criterios de aceptación medibles antes de escribir una línea de código.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El schema de BD es la decisión más cara de cambiar. Sin spec de datos validada primero, se descubren errores en producción.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 spec de datos (schema + migraciones + seeds) se aprueba como Fase 0 de cada épica. Ningún código de aplicación se escribe sin schema aprobado.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 solo desarrollador con IA genera mucho código rápido. Sin metodología, la deuda técnica acumulada en semana 4 bloquea el proyecto en semana 8.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Los agentes de SDD (spec-creator, planner, developer, validator, reviewer) actúan como el equipo de revisión que un solo fundador no tiene.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1.2 La metodología SDD DevFlow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sdd-devflow (github.com/pbojeda/sdd-devflow) implementa el flujo SDD con 9 agentes especializados, 3 skills y 4 niveles de autonomía.</w:t>
      </w:r>
    </w:p>
    <w:p>
      <w:pPr>
        <w:spacing w:before="0" w:after="4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El flujo de 7 pasos para cada feature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7160"/>
      </w:tblGrid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hace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spec-creator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Redacta la especificación de la feature. Criterios de aceptación, edge cases, contrato de API, impacto en BD. Output: docs/specs/FXX-nombre.md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(Fundador)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Setup: crea branch, ticket en product-tracker, referencias cruzadas. Aprobación humana de la spec.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backend-planner / frontend-planner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Plan de implementación: archivos a crear/modificar, orden de tests, dependencias. Aprobación humana del plan.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backend-developer / frontend-developer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Implementación TDD: test rojo → código mínimo → test verde → refactor. Ciclo por cada criterio de aceptación.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production-code-validator + quick-scan hook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Tests + lint + build + scan automático (debug code, secrets, TODOs). Aprobación humana del commit.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code-review-specialist + qa-engineer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 review completo + verificación de spec + edge cases. Aprobación humana del merge.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(Automático)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Cleanup: cierra ticket, actualiza product-tracker, registra decisiones en decisions.md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Nivel de autonomía recomendado para este proyecto</w:t>
      </w:r>
    </w:p>
    <w:p>
      <w:pPr>
        <w:pBdr>
          <w:left w:val="single" w:color="0D9488" w:sz="12" w:space="6"/>
        </w:pBdr>
        <w:shd w:fill="F0FDFA" w:val="clear"/>
        <w:spacing w:before="120" w:after="80"/>
        <w:ind w:left="180" w:right="18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Recomendación: L2 (Trusted) — el fundador aprueba el plan y el merge. Todo lo demás corre autónomamente.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000"/>
        <w:gridCol w:w="3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Checkpoints humanos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Cuándo usar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Full Control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Todos (5 pasos)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Primera feature, aprendiendo SDD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L2 ★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Trusted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Plan + Merge (2 pasos)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Desarrollo normal — RECOMENDADO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Autopilot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Solo Merge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Tasks bien definidas y repetitivas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Full Auto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Solo CI/CD gates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Bulk tasks simples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1.3 Los 6 principios inmutables (Constitución SDD)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Estos principios aplican a TODOS los agentes, TODAS las tasks, TODOS los niveles de complejidad. No son negociables.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7160"/>
      </w:tblGrid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Principio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Implicación concreta para este proyecto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Spec First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 se escribe código del motor de estimación sin spec aprobada. No se crea una migración sin spec de schema aprobada.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Small Tasks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Una feature = un PR. Una migración de schema = su propio PR. El motor de estimación son 3 features separadas (Nivel 1, 2, 3).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TDD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El cálculo nutricional se testea primero con datos conocidos (USDA ground truth). Red → Green → Refactor sin excepciones.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Type Safety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TypeScript strict mode. Schemas Zod en todos los boundaries de API. Sin "any" en el motor de cálculo nutricional.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English Only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Todo el código, commits, specs, tickets y comentarios de código en inglés. Los documentos de producto en español.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Reuse Over Recreate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Antes de crear un nuevo endpoint, verificar si existe. Antes de crear una nueva tabla, verificar si encaja en el schema. El database-architect agent revisa antes de cada ADR.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1.4 Memoria del proyecto — el quinto pilar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sdd-devflow mantiene 4 archivos de memoria institucional en docs/project_notes/. En un proyecto de un solo fundador, estos archivos son el "equipo" que no olvida: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Propósito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registrar en este proyecto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product-tracker.md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Backlog + sesión activa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Estado de cada épica y feature. Contexto de la sesión actual (recuperación tras compaction de contexto).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decisions.md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ADRs (Architectural Decision Records)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Cada decisión técnica con alternativas descartadas y razonamiento. Ejemplo: "ADR-001: Prisma para CRUD + Kysely para pgvector".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bugs.md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 de bugs + soluciones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Bugs resueltos con su causa raíz y solución. Previene repetir los mismos errores en sesiones futuras.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key_facts.md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Config, URLs, puertos, branching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Puertos de desarrollo (API: 3000, Redis: 6379, PG: 5432), variables de entorno, convenciones de naming, estrategia de branches.</w:t>
            </w:r>
          </w:p>
        </w:tc>
      </w:tr>
    </w:tbl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5C" w:sz="6" w:space="4"/>
        </w:pBdr>
        <w:spacing w:before="480" w:after="160"/>
      </w:pPr>
      <w:r>
        <w:rPr>
          <w:rFonts w:ascii="Arial" w:cs="Arial" w:eastAsia="Arial" w:hAnsi="Arial"/>
          <w:b/>
          <w:bCs/>
          <w:color w:val="1B3A5C"/>
          <w:sz w:val="38"/>
          <w:szCs w:val="38"/>
        </w:rPr>
        <w:t xml:space="preserve">2. Setup inicial — Día 0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Este checklist se ejecuta una única vez antes de escribir cualquier línea de código del producto. Cada ítem tiene un criterio de completado claro.</w:t>
      </w:r>
    </w:p>
    <w:p>
      <w:pPr>
        <w:spacing w:before="0" w:after="40"/>
      </w:pPr>
      <w:r>
        <w:t xml:space="preserve"/>
      </w:r>
    </w:p>
    <w:p>
      <w:pPr>
        <w:pBdr>
          <w:left w:val="single" w:color="0D9488" w:sz="12" w:space="6"/>
        </w:pBdr>
        <w:shd w:fill="F0FDFA" w:val="clear"/>
        <w:spacing w:before="120" w:after="80"/>
        <w:ind w:left="180" w:right="18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Tiempo estimado: 4-6 horas. Al final del día 0, Claude Code está configurado, el repo está en marcha y el primer ticket está creado.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2.1 Repositorio y entorno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800"/>
        <w:gridCol w:w="4160"/>
      </w:tblGrid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 de completado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 ]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Crear repositorio GitHub — nombre definitivo pendiente, usar "nutritrack" como placeholder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Repo público en GitHub con LICENSE (MIT o Apache 2.0)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 ]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Configurar branching strategy: main (producción) + develop (integración) + feature/* (trabajo)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Branch develop creada, protección en main configurada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 ]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Inicializar proyecto Node.js + TypeScript con estructura de monorepo (packages/api, packages/bot)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npm init + tsconfig.json + eslint + prettier configurados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 ]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Configurar Docker Compose con PostgreSQL 16 + pgvector extension + Redis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docker compose up levanta BD + Redis sin errores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 ]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Variables de entorno: crear .env.example y documentar en key_facts.md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.env.example completo; .env local funcional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2.2 Instalación de sdd-devflow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800"/>
        <w:gridCol w:w="4160"/>
      </w:tblGrid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 de completado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 ]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Ejecutar: npx create-sdd-project --init en la raíz del repo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Wizard completado: Node.js + TypeScript, Backend + Frontend, Claude Code, L2 Autonomy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 ]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Verificar instalación: npx create-sdd-project --doctor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Output: HEALTHY. 8/8 agentes presentes, hooks ejecutables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 ]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Instalar jq (dependencia del quick-scan hook)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which jq retorna path válido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 ]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Personalizar AGENTS.md con contexto del proyecto: stack, convenciones, rutas de specs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AGENTS.md actualizado con sección "Project Context" específica de NutriTrack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 ]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Personalizar ai-specs/specs/backend-standards.mdc con patrones de este proyecto (Prisma/Kysely, Fastify, Zod)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Standards reflejan las decisiones del PRD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2.3 CI/CD y calidad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800"/>
        <w:gridCol w:w="4160"/>
      </w:tblGrid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 de completado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 ]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Revisar y personalizar .github/workflows/ci.yml generado por sdd-devflow para PostgreSQL + pgvector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CI pasa en rama main con BD de test y extensión pgvector habilitada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 ]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Configurar Railway o Render: entorno staging (develop branch) + producción (main branch)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Deploy automático en staging funciona tras push a develop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 ]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Configurar Sentry para error tracking desde el primer día (plan gratuito suficiente)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Primer error de test capturado en Sentry dashboard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 ]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Configurar uptime monitoring básico (Better Uptime o UptimeRobot gratuito)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Alerta configurada para el endpoint de health check de la API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2.4 Memoria institucional — inicialización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800"/>
        <w:gridCol w:w="4160"/>
      </w:tblGrid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 de completado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 ]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Ejecutar en Claude Code: "set up project memory" (project-memory skill)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 archivos creados en docs/project_notes/ con contexto inicial del proyecto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 ]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Poblar key_facts.md: puertos, convenciones, branching, URLs de staging/prod, API keys de entorno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key_facts.md completo y revisado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 ]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Registrar ADR-000 en decisions.md: "Stack inicial y razonamiento" (documentar las decisiones del PRD)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ADR-000 creado con alternativas evaluadas y decisión justificada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 ]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Poblar product-tracker.md con las 4 épicas de Fase 1 y sus features de primer nivel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Backlog inicial visible en product-tracker.md</w:t>
            </w:r>
          </w:p>
        </w:tc>
      </w:tr>
    </w:tbl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5C" w:sz="6" w:space="4"/>
        </w:pBdr>
        <w:spacing w:before="480" w:after="160"/>
      </w:pPr>
      <w:r>
        <w:rPr>
          <w:rFonts w:ascii="Arial" w:cs="Arial" w:eastAsia="Arial" w:hAnsi="Arial"/>
          <w:b/>
          <w:bCs/>
          <w:color w:val="1B3A5C"/>
          <w:sz w:val="38"/>
          <w:szCs w:val="38"/>
        </w:rPr>
        <w:t xml:space="preserve">3. Estructura de especificaciones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Las specs son el contrato entre planificación e implementación. En SDD, ningún código existe sin spec aprobada. Esta sección define la jerarquía de specs para este proyecto.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3.1 Jerarquía de documentos</w:t>
      </w:r>
    </w:p>
    <w:p>
      <w:pPr>
        <w:pBdr>
          <w:left w:val="single" w:color="2563EB" w:sz="12" w:space="6"/>
        </w:pBdr>
        <w:shd w:fill="EFF6FF" w:val="clear"/>
        <w:spacing w:before="120" w:after="80"/>
        <w:ind w:left="180" w:right="18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Regla: los documentos de mayor nivel son prerrequisito para los de menor nivel. No se crea una spec de feature sin que su épica esté aprobada.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Ubicación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PRD (ya existe)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nutritrack-prd.md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Visión, usuarios, casos de uso, fases, criterios de éxito. Este documento es la fuente de verdad del producto.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Schema BD (ya existe)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nutritrack-db-diagram.md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Modelo de datos completo con diagramas Mermaid. Prerrequisito para cualquier migración.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Spec de Épica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docs/specs/epics/EXXX-nombre.md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Alcance de la épica, features incluidas, criterios de completado, dependencias con otras épicas.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Spec de Feature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docs/specs/features/FXXX-nombre.md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Criterios de aceptación, contrato de API (endpoints, request/response, errores), impacto en schema, edge cases.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Spec de Schema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docs/specs/schema/SXXX-tabla.md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Spec de migración de BD: campos, tipos, constraints, índices, seeds necesarios, rollback plan.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Ticket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docs/tickets/TXXX-nombre.md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Generado por sdd-devflow en Step 1. Enlaza feature → branch → PR. Registro de ejecución.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docs/project_notes/decisions.md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Registra cada decisión de arquitectura con contexto, alternativas descartadas y consecuencias.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3.2 Template de Spec de Feature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Cada spec de feature generada por el agente spec-creator debe seguir esta estructura mínima:</w:t>
      </w:r>
    </w:p>
    <w:p>
      <w:pPr>
        <w:spacing w:before="0" w:after="40"/>
      </w:pPr>
      <w:r>
        <w:t xml:space="preserve"/>
      </w:r>
    </w:p>
    <w:p>
      <w:pPr>
        <w:pBdr>
          <w:left w:val="single" w:color="374151" w:sz="8" w:space="4"/>
        </w:pBdr>
        <w:shd w:fill="F1F5F9" w:val="clear"/>
        <w:spacing w:before="60" w:after="60"/>
        <w:ind w:left="200"/>
      </w:pPr>
      <w:r>
        <w:rPr>
          <w:rFonts w:ascii="Courier New" w:cs="Courier New" w:eastAsia="Courier New" w:hAnsi="Courier New"/>
          <w:b/>
          <w:bCs/>
          <w:color w:val="1B3A5C"/>
          <w:sz w:val="18"/>
          <w:szCs w:val="18"/>
        </w:rPr>
        <w:t xml:space="preserve"># F001 — [Nombre de la feature]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b/>
          <w:bCs/>
          <w:color w:val="0D9488"/>
          <w:sz w:val="18"/>
          <w:szCs w:val="18"/>
        </w:rPr>
        <w:br/>
        <w:t xml:space="preserve">## Contexto</w:t>
      </w:r>
      <w:r>
        <w:rPr>
          <w:rFonts w:ascii="Courier New" w:cs="Courier New" w:eastAsia="Courier New" w:hAnsi="Courier New"/>
          <w:color w:val="374151"/>
          <w:sz w:val="17"/>
          <w:szCs w:val="17"/>
        </w:rPr>
        <w:br/>
        <w:t xml:space="preserve">
Breve descripción del problema que resuelve esta feature.</w:t>
      </w:r>
      <w:r>
        <w:rPr>
          <w:rFonts w:ascii="Courier New" w:cs="Courier New" w:eastAsia="Courier New" w:hAnsi="Courier New"/>
          <w:b/>
          <w:bCs/>
          <w:color w:val="0D9488"/>
          <w:sz w:val="18"/>
          <w:szCs w:val="18"/>
        </w:rPr>
        <w:br/>
        <w:t xml:space="preserve">
## Criterios de aceptación</w:t>
      </w:r>
      <w:r>
        <w:rPr>
          <w:rFonts w:ascii="Courier New" w:cs="Courier New" w:eastAsia="Courier New" w:hAnsi="Courier New"/>
          <w:color w:val="374151"/>
          <w:sz w:val="17"/>
          <w:szCs w:val="17"/>
        </w:rPr>
        <w:br/>
        <w:t xml:space="preserve">
- [ ] AC-1: [descripción testeable]</w:t>
        <w:br/>
        <w:t xml:space="preserve">
- [ ] AC-2: [descripción testeable]</w:t>
      </w:r>
      <w:r>
        <w:rPr>
          <w:rFonts w:ascii="Courier New" w:cs="Courier New" w:eastAsia="Courier New" w:hAnsi="Courier New"/>
          <w:b/>
          <w:bCs/>
          <w:color w:val="0D9488"/>
          <w:sz w:val="18"/>
          <w:szCs w:val="18"/>
        </w:rPr>
        <w:br/>
        <w:t xml:space="preserve">
## Contrato de API</w:t>
      </w:r>
      <w:r>
        <w:rPr>
          <w:rFonts w:ascii="Courier New" w:cs="Courier New" w:eastAsia="Courier New" w:hAnsi="Courier New"/>
          <w:color w:val="374151"/>
          <w:sz w:val="17"/>
          <w:szCs w:val="17"/>
        </w:rPr>
        <w:br/>
        <w:t xml:space="preserve">
Endpoint, método, request schema, response schema, errores.</w:t>
      </w:r>
      <w:r>
        <w:rPr>
          <w:rFonts w:ascii="Courier New" w:cs="Courier New" w:eastAsia="Courier New" w:hAnsi="Courier New"/>
          <w:b/>
          <w:bCs/>
          <w:color w:val="0D9488"/>
          <w:sz w:val="18"/>
          <w:szCs w:val="18"/>
        </w:rPr>
        <w:br/>
        <w:t xml:space="preserve">
## Impacto en schema</w:t>
      </w:r>
      <w:r>
        <w:rPr>
          <w:rFonts w:ascii="Courier New" w:cs="Courier New" w:eastAsia="Courier New" w:hAnsi="Courier New"/>
          <w:color w:val="374151"/>
          <w:sz w:val="17"/>
          <w:szCs w:val="17"/>
        </w:rPr>
        <w:br/>
        <w:t xml:space="preserve">
Tablas afectadas. Referencia a S001-nombre.md si hay migración.</w:t>
      </w:r>
      <w:r>
        <w:rPr>
          <w:rFonts w:ascii="Courier New" w:cs="Courier New" w:eastAsia="Courier New" w:hAnsi="Courier New"/>
          <w:b/>
          <w:bCs/>
          <w:color w:val="0D9488"/>
          <w:sz w:val="18"/>
          <w:szCs w:val="18"/>
        </w:rPr>
        <w:br/>
        <w:t xml:space="preserve">
## Edge cases</w:t>
      </w:r>
      <w:r>
        <w:rPr>
          <w:rFonts w:ascii="Courier New" w:cs="Courier New" w:eastAsia="Courier New" w:hAnsi="Courier New"/>
          <w:color w:val="374151"/>
          <w:sz w:val="17"/>
          <w:szCs w:val="17"/>
        </w:rPr>
        <w:br/>
        <w:t xml:space="preserve">
- Caso límite 1 y comportamiento esperado.</w:t>
      </w:r>
      <w:r>
        <w:rPr>
          <w:rFonts w:ascii="Courier New" w:cs="Courier New" w:eastAsia="Courier New" w:hAnsi="Courier New"/>
          <w:b/>
          <w:bCs/>
          <w:color w:val="0D9488"/>
          <w:sz w:val="18"/>
          <w:szCs w:val="18"/>
        </w:rPr>
        <w:br/>
        <w:t xml:space="preserve">
## Fuera de scope</w:t>
      </w:r>
      <w:r>
        <w:rPr>
          <w:rFonts w:ascii="Courier New" w:cs="Courier New" w:eastAsia="Courier New" w:hAnsi="Courier New"/>
          <w:color w:val="374151"/>
          <w:sz w:val="17"/>
          <w:szCs w:val="17"/>
        </w:rPr>
        <w:br/>
        <w:t xml:space="preserve">
- Qué NO hace esta feature (previene scope creep).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3.3 Convenciones de naming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Prefijo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Ejemplo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EXXX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Épica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E001-infrastructure-setup, E002-estimation-engine, E003-telegram-bot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FXXX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Feature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F001-prisma-schema-migration, F002-level1-official-data-lookup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SXXX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Schema / Migración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S001-foods-table, S002-dishes-table, S003-pgvector-indexes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TXXX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Ticket (auto-generado)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T001-prisma-schema-migration (generado por sdd-devflow en Step 1)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ADR-XXX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Decision Record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ADR-000-initial-stack, ADR-001-prisma-vs-kysely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BUG-XXX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Bug (auto-generado)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BUG-001-pgvector-cosine-normalization (registrado en bugs.md)</w:t>
            </w:r>
          </w:p>
        </w:tc>
      </w:tr>
    </w:tbl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5C" w:sz="6" w:space="4"/>
        </w:pBdr>
        <w:spacing w:before="480" w:after="160"/>
      </w:pPr>
      <w:r>
        <w:rPr>
          <w:rFonts w:ascii="Arial" w:cs="Arial" w:eastAsia="Arial" w:hAnsi="Arial"/>
          <w:b/>
          <w:bCs/>
          <w:color w:val="1B3A5C"/>
          <w:sz w:val="38"/>
          <w:szCs w:val="38"/>
        </w:rPr>
        <w:t xml:space="preserve">4. Fase 1 — MVP: Bot de Telegram + API + BD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000"/>
        <w:gridCol w:w="37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Duración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Stack activo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 de salida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6 semanas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API funcional + Bot Telegram + BD con datos de 10 cadenas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Fastify + Prisma + Kysely + PG + pgvector + Redis + Telegram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100 usuarios activos · 10 cadenas cubiertas · &lt;3s respuesta · &lt;0.05€/consulta tokens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top w:val="single" w:color="B45309" w:sz="2"/>
          <w:bottom w:val="single" w:color="B45309" w:sz="2"/>
          <w:left w:val="single" w:color="B45309" w:sz="14" w:space="0"/>
          <w:right w:val="single" w:color="B45309" w:sz="2"/>
        </w:pBdr>
        <w:shd w:fill="FFFBEB" w:val="clear"/>
        <w:spacing w:before="80" w:after="80"/>
        <w:ind w:left="200" w:right="20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⚠ Principio clave de Fase 1: LA BD ES EL PRODUCTO. Antes de escribir un solo endpoint, el schema completo debe estar migrado, seeded y validado. La API y el bot son consumidores de la BD, no al revés.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4.1 Épicas de Fase 1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La Fase 1 se organiza en 4 épicas secuenciales con dependencias claras. Las épicas E001 y E002 son bloqueantes para E003 y E004.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600"/>
        <w:gridCol w:w="1200"/>
        <w:gridCol w:w="236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Épica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entrega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Semanas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Dependencias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E001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Infrastructure &amp; Schema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BD completa migrada. Docker. CI. sdd-devflow configurado. Prisma schema + seeds.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Sem 1-2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Setup día 0 completado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E002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Data Ingestion Pipeline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 cadenas españolas con datos nutricionales verificados en BD. Scraper + parser + importador.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Sem 2-4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E001 completa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E003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Estimation Engine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Motor de 3 niveles funcional con tests de precisión. API interna documentada.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Sem 3-5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E001 completa. E002 parcial (mínimo Nivel 1)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E004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Telegram Bot + Public API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Bot funcional en producción. API pública v0 con rate limiting y caché Redis.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Sem 4-6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E002 + E003 completas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4.2 Épica E001 — Infrastructure &amp; Schema</w:t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Features de E001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 de aceptación principal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F001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Prisma Schema Migration — Core tables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Tablas data_sources, foods, food_nutrients, standard_portions migradas. Tests de seed pasan.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F002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Prisma Schema Migration — Dishes &amp; Restaurants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Tablas cooking_methods, dish_categories, restaurants, dishes, dish_nutrients, dish_ingredients migradas.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F003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pgvector Extension &amp; Indexes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pgvector habilitado. Índices IVFFlat en foods.embedding y dishes.embedding creados. Query de similitud retorna resultados en &lt;100ms con dataset de test.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F004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Fastify API Scaffold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Fastify arranca en port 3000. Health check endpoint /health responde 200. OpenAPI generado automáticamente. Zod validation configurado.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F005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Redis Connection &amp; Cache Layer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Redis conectado. Cache helper con TTL configurable. Rate limiting middleware funcional con test de 100 req/min.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F006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Seed Script — USDA/FEN Base Foods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Script importa mínimo 500 alimentos base de USDA/FEN con valores nutricionales por 100g. Tests de integridad pasan (sin nulos en columnas required).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Bdr>
          <w:left w:val="single" w:color="DC2626" w:sz="12" w:space="6"/>
        </w:pBdr>
        <w:shd w:fill="FEF2F2" w:val="clear"/>
        <w:spacing w:before="120" w:after="80"/>
        <w:ind w:left="180" w:right="18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BLOQUEANTE: No avanzar a E002 o E003 sin que F001-F006 estén en producción (rama main, CI verde, deploy staging funcionando).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4.3 Épica E002 — Data Ingestion Pipeline</w:t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Features de E002 — Scraping &amp; Import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Las 10 cadenas objetivo de Fase 1 (en orden de prioridad por volumen de búsquedas en España):</w:t>
      </w:r>
    </w:p>
    <w:p>
      <w:pPr>
        <w:spacing w:before="0" w:after="30"/>
      </w:pPr>
      <w:r>
        <w:t xml:space="preserve"/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000"/>
        <w:gridCol w:w="3760"/>
      </w:tblGrid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Cadena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Fuente de datos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 de ingesta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McDonald's España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Web mcdonalds.com/es + PDF información nutricional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Scraper Crawlee + Playwright. Datos estructurados disponibles.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Burger King España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Web burgerking.es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Scraper + parser HTML. Verificar formato de la tabla nutricional.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KFC España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Web kfc.es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Scraper. Algunos datos disponibles en JSON-LD.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Telepizza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Web telepizza.es + app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Scraper. Verificar disponibilidad de valores nutricionales.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Domino's España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Web dominos.es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Scraper. Comparar con datos Domino's global para validación.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Subway España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Web subway.com/es-es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Scraper. Calculadora de nutricionales disponible en web.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Five Guys España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Web fiveguys.es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Scraper. Datos nutricionales PDF disponibles.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VIPS / TGI Fridays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Web vips.es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Scraper. Verificar cobertura de carta.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Pans &amp; Company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Web pansandcompany.com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Scraper + verificación manual de valores.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100 Montaditos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Web 100montaditos.com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Scraper. Carta extensa — priorizar montaditos más populares.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Bdr>
          <w:top w:val="single" w:color="B45309" w:sz="2"/>
          <w:bottom w:val="single" w:color="B45309" w:sz="2"/>
          <w:left w:val="single" w:color="B45309" w:sz="14" w:space="0"/>
          <w:right w:val="single" w:color="B45309" w:sz="2"/>
        </w:pBdr>
        <w:shd w:fill="FFFBEB" w:val="clear"/>
        <w:spacing w:before="80" w:after="80"/>
        <w:ind w:left="200" w:right="20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⚠ RIESGO E002: Los sitios web cambian su estructura. El scraper de cada cadena es una feature independiente (F007-F016). Si una cadena bloquea el scraping, se implementa primero con datos manuales y el scraper se añade como mejora.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 de aceptación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F007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Scraper base: Crawlee + Playwright scaffold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Framework de scraping configurado con rate limiting, rotación de user agent, manejo de errores y logging.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F008-F017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Scraper por cadena (10 features)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Cada scraper: extrae datos nutricionales, los normaliza al schema de BD, importa con source_id trazable. Test de integridad: 0 nulos en calorías/proteínas/carbohidratos/grasas.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F018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Data Quality Monitor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Script que verifica: datos duplicados, valores implausibles (&gt;5000 kcal/100g), platos sin nutrients. Dashboard mínimo en consola.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F019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Embedding Generation Pipeline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Script que genera embeddings (OpenAI text-embedding-3-small) para foods y dishes y los almacena en columnas vector. Batch processing para rate limiting.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4.4 Épica E003 — Estimation Engine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El motor de estimación es el activo técnico más importante de Fase 1. Debe implementarse en este orden estricto: Nivel 1 → Nivel 2 → Nivel 3. Cada nivel tiene sus propios tests de precisión.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 de aceptación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F020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Level 1 — Official Data Lookup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Query a BD retorna datos exactos de fuente oficial. confidence_level = HIGH. Tiempo &lt;50ms. Tests: 20 platos de cadenas con datos conocidos retornan valores dentro de ±5% de la web oficial.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F021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Level 2 — Ingredient-Based Estimation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Motor calcula calorías/macros desde lista de ingredientes + gramajes estándar USDA/FEN + factor de cocción. confidence_level = MEDIUM. Tests: 10 platos con ingredientes conocidos dentro de ±20% de valor real. LLM solo para parsing de ingredientes en lenguaje natural.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F022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Level 3 — Similarity Extrapolation (pgvector)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Búsqueda coseno en pgvector devuelve N platos similares dentro de misma categoría. Media ponderada por similitud. confidence_level = LOW. Tests: platos de prueba extrapolados dentro de ±35% con categorías correctas.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F023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Engine Router &amp; Confidence API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Función central que recibe query y aplica Nivel 1 → 2 → 3 en cascade. Retorna {nutrients, confidence_level, estimation_method, sources[]}. Este contrato es la interfaz para el bot y la API pública.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F024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LLM Integration Layer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Wrapper sobre OpenAI/Anthropic para: parsing de queries en lenguaje natural, parsing de ingredientes, generación de respuestas naturales. Cache Redis con TTL 24h por hash de query normalizada. Tests: coste simulado &lt;0.05€/consulta con caché al 70%.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Bdr>
          <w:left w:val="single" w:color="DC2626" w:sz="12" w:space="6"/>
        </w:pBdr>
        <w:shd w:fill="FEF2F2" w:val="clear"/>
        <w:spacing w:before="120" w:after="80"/>
        <w:ind w:left="180" w:right="18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PRINCIPIO CRÍTICO: el motor (F020-F023) no llama nunca a la LLM para calcular. La LLM solo interpreta texto de entrada (F024) y formatea texto de salida. El cálculo es siempre determinístico y auditable.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4.5 Épica E004 — Telegram Bot + Public API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4530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4530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4530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 de aceptación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F025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Fastify Routes — Core Endpoints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/search?q= · POST /calculate · GET /restaurants/:id/dishes · GET /dishes/:id/nutrients · GET /health. Zod validation en todos. OpenAPI spec generada. Tests de integración pasan.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F026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API Rate Limiting + Auth (API Key)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100 req/día para tier free, 1000 req/día para tier dev (API key). Redis rate limiter. Headers X-RateLimit-* en respuestas.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F027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Telegram Bot — Command Handler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Bot responde a /start, /help, /buscar [plato], /restaurante [nombre]. Integra con Engine Router (F023). Tests con Telegram Bot API mock.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F028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Telegram Bot — Natural Language Handler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Mensajes de texto libre procesados por LLM layer (F024). Bot interpreta "¿cuántas calorías tiene una hamburguesa de McDonald's?" y retorna respuesta estructurada con nivel de confianza.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F029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Query Log &amp; Analytics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Cada consulta logueada en query_log con timestamp, tipo, confianza y tiempo de respuesta. Script de analytics muestra top 20 consultas más frecuentes (input para mejora de BD).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F030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Monitoring &amp; Alerting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Sentry configurado para errores de motor. Alerta automática si P95 latencia &gt; 3s en últimas 5 min. Dashboard básico en Railway/Render.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4.6 Cronograma detallado — Fase 1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736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Semana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Épica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Trabajo concreto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E001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F001 + F002: Schema migration core + dishes. F003: pgvector + índices. F004: Fastify scaffold. CI verde en rama develop.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E001 + E002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F005: Redis + cache layer. F006: Seed USDA/FEN. F007: Scraper scaffold. Inicio F008 (McDonald's). ADR-001 registrado.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E002 + E003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F008-F012: Scrapers 5 cadenas. F019: Embeddings pipeline. F020: Level 1 engine (bloqueante para bot). Tests de precisión Nivel 1 passing.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E002 + E003 + E004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F013-F017: Scrapers 5 cadenas restantes. F021: Level 2 engine. F018: Quality monitor. F025: API routes. Checkpoint de calidad de datos.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E003 + E004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F022: Level 3 pgvector engine. F023: Engine router. F024: LLM layer + cache. F026: Rate limiting. F027: Bot commands.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E004 + QA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F028: Bot lenguaje natural. F029: Query logging. F030: Monitoring. Pruebas end-to-end completas. Deploy producción. Primeros usuarios externos.</w:t>
            </w:r>
          </w:p>
        </w:tc>
      </w:tr>
    </w:tbl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5C" w:sz="6" w:space="4"/>
        </w:pBdr>
        <w:spacing w:before="480" w:after="160"/>
      </w:pPr>
      <w:r>
        <w:rPr>
          <w:rFonts w:ascii="Arial" w:cs="Arial" w:eastAsia="Arial" w:hAnsi="Arial"/>
          <w:b/>
          <w:bCs/>
          <w:color w:val="1B3A5C"/>
          <w:sz w:val="38"/>
          <w:szCs w:val="38"/>
        </w:rPr>
        <w:t xml:space="preserve">5. Fase 2 — Web: Aplicación + Web Promocional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000"/>
        <w:gridCol w:w="37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Duración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Stack añadido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 de salida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Meses 3-5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Web app + mapa + cuentas + foto + portal restaurantes beta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Next.js · Mapbox/Google Maps · NextAuth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1K usuarios · 50 restaurantes verificados · 10 devs con API key · NPS ≥40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5.1 Pre-lanzamiento — Web promocional (antes de la app)</w:t>
      </w:r>
    </w:p>
    <w:p>
      <w:pPr>
        <w:pBdr>
          <w:left w:val="single" w:color="B45309" w:sz="12" w:space="6"/>
        </w:pBdr>
        <w:shd w:fill="FFFBEB" w:val="clear"/>
        <w:spacing w:before="120" w:after="80"/>
        <w:ind w:left="180" w:right="18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La web promocional se lanza 4-6 semanas ANTES de la app. Su función principal: captar lista de espera y construir audiencia antes del lanzamiento.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4530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4530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4530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Contenido / Criterio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F031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Landing page de presentación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Propuesta de valor clara. Demo animada o screenshots. CTA principal: suscripción a newsletter. SEO básico con meta tags.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F032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Newsletter / Lista de espera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Formulario de email conectado a Mailchimp/Brevo/Resend. Email de confirmación automático. Objetivo: 500 suscriptores antes del lanzamiento de la app.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F033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Páginas legales obligatorias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Política de privacidad (RGPD compliant) · Términos y condiciones · Política de cookies. Banner de consentimiento de cookies (Cookiebot o equivalente).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F034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Página de contacto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Formulario de contacto. Direcciones de email por tipo (soporte, prensa, restaurantes). Tiempo de respuesta prometido.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F035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Página para restaurantes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Propuesta de valor B2B. Formulario de interés para restaurantes. CTA: "Únete como restaurante verificado". Objetivo: 20 restaurantes en lista de espera B2B antes del lanzamiento.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F036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Blog / Changelog público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Canal de comunicación de novedades. Al menos 3 posts pre-lanzamiento (qué es el producto, cómo funciona el motor de estimación, por qué open source).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5.2 Épicas de la aplicación web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600"/>
        <w:gridCol w:w="1200"/>
        <w:gridCol w:w="236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Épica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entrega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Dependencias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E005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Next.js App Shell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Scaffold Next.js. Búsqueda de platos. Ficha de plato con macros y nivel de confianza visible.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Mes 3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E001-E004 completas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E006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Map &amp; Discovery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Mapa de restaurantes con Mapbox. Filtros por restricción dietética. Geolocalización del usuario.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Mes 4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E005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E007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 Accounts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Registro + login (NextAuth). Historial de consultas. Preferencias y restricciones dietéticas.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Mes 4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E005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E008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Photo Recognition (básico)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Upload de foto. Vision API para identificar plato. Respuesta con datos nutricionales estimados y confidence LOW.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Mes 4-5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E005 + E003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E009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Restaurant Portal (beta)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Login para restaurantes. CRUD de carta. Validación de datos. Panel de estado de verificación.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Mes 5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E005 + E007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E010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 API v1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Documentación pública (Swagger UI). API keys con dashboard. Rate limiting por tier. Changelog.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Mes 5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E004 + E005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5.3 Decisiones técnicas de Fase 2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Decisión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Propuesta inicial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Validar antes de implementar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Proveedor de mapas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Mapbox GL JS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Comparar coste Mapbox vs Google Maps API al volumen esperado (1K usuarios). Decidir en inicio de E006.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Auth provider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NextAuth.js (self-hosted)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 se anticipa OAuth con Google/GitHub, evaluar Auth.js v5 o Clerk. Decidir antes de E007.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Vision API (foto)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OpenAI GPT-4o Vision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Evaluar coste por imagen. Alternativa: Google Vision API. Decidir antes de E008.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Web promo CMS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MDX en Next.js (blog)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 el blog necesita gestión por non-devs, evaluar Contentlayer o Sanity. Decidir antes de F036.</w:t>
            </w:r>
          </w:p>
        </w:tc>
      </w:tr>
    </w:tbl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5C" w:sz="6" w:space="4"/>
        </w:pBdr>
        <w:spacing w:before="480" w:after="160"/>
      </w:pPr>
      <w:r>
        <w:rPr>
          <w:rFonts w:ascii="Arial" w:cs="Arial" w:eastAsia="Arial" w:hAnsi="Arial"/>
          <w:b/>
          <w:bCs/>
          <w:color w:val="1B3A5C"/>
          <w:sz w:val="38"/>
          <w:szCs w:val="38"/>
        </w:rPr>
        <w:t xml:space="preserve">6. Fase 3 — App Móvil y Escala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000"/>
        <w:gridCol w:w="37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Duración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Stack añadido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 de salida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Meses 6-9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 iOS + Android + tracking diario + 200 restaurantes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React Native · Expo · HealthKit / Google Fit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10K MAU · 200 restaurantes · rating ≥4.2 · 1 cadena B2B de pago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6.1 Épicas de Fase 3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Épica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entrega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E011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React Native App Shell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 iOS + Android con navegación. Toda la funcionalidad del bot y la web en app nativa. Push notifications.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E012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Camera &amp; Advanced Photo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Cámara nativa en tiempo real para identificación de platos. Mejora sobre el modelo de Fase 2 con más datos de entrenamiento.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E013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Daily Intake Tracking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Registro diario de ingesta. Totales acumulados por macro. Historial semanal/mensual. Integración básica con HealthKit (iOS) y Google Fit (Android).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E014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Restaurant Partner Program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Portal B2B completo con dashboard de analytics para restaurantes. Widget embebible para webs de restaurantes. Sello "NutriTrack Verified". Primera cadena de pago.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E015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Infrastructure Scale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Migración a infraestructura más robusta si Railway/Render no aguanta. Evaluación de migración a AWS/GCP si los números lo justifican. CDN para la web.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6.2 Prerequisitos para iniciar Fase 3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Fase 3 NO comienza sin que estos criterios estén cumplidos:</w:t>
      </w:r>
    </w:p>
    <w:p>
      <w:pPr>
        <w:spacing w:before="0" w:after="3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Fase 2 completada con criterios de éxito cumplidos (1K usuarios, 50 restaurantes, NPS ≥40)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Branding definitivo aprobado e implementado en la web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Modelo de negocio definido y al menos un tier de pago activo (aunque sea con pocos clientes)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Plan de marketing documentado con presupuesto para campaña de lanzamiento de la 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Al menos 1 restaurante o cadena comprometida con el programa B2B de Fase 3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6.3 La decisión de infra en Fase 3</w:t>
      </w:r>
    </w:p>
    <w:p>
      <w:pPr>
        <w:pBdr>
          <w:left w:val="single" w:color="374151" w:sz="12" w:space="6"/>
        </w:pBdr>
        <w:shd w:fill="F1F5F9" w:val="clear"/>
        <w:spacing w:before="120" w:after="80"/>
        <w:ind w:left="180" w:right="18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Railway/Render son suficientes para Fase 1 y Fase 2. Para Fase 3 (10K MAU) evaluar si es necesario migrar. No migrar antes de necesitarlo.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Señal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P95 latencia &gt; 2s de forma sostenida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Evaluar upgrade de plan Railway/Render o migración a VPS dedicado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Cuando se detecte, no antes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Coste infra &gt; 20% de ingresos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Evaluar opciones más económicas (Hetzner, Railway Pro)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Revisión mensual de unit economics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pgvector con &gt; 500K platos en índice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Evaluar migración de IVFFlat a HNSW o particionado por categoría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Cuando se cruce el umbral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&gt; 50K MAU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Evaluar migración seria a AWS RDS + EC2/ECS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Como ejercicio de planificación al llegar a 10K MAU</w:t>
            </w:r>
          </w:p>
        </w:tc>
      </w:tr>
    </w:tbl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5C" w:sz="6" w:space="4"/>
        </w:pBdr>
        <w:spacing w:before="480" w:after="160"/>
      </w:pPr>
      <w:r>
        <w:rPr>
          <w:rFonts w:ascii="Arial" w:cs="Arial" w:eastAsia="Arial" w:hAnsi="Arial"/>
          <w:b/>
          <w:bCs/>
          <w:color w:val="1B3A5C"/>
          <w:sz w:val="38"/>
          <w:szCs w:val="38"/>
        </w:rPr>
        <w:t xml:space="preserve">7. Pendientes estratégicos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Estas decisiones están ABIERTAS. Algunas bloquean partes del desarrollo; otras son independientes del timeline técnico. Cada una tiene una fecha límite máxima antes de que se convierta en bloqueante.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000"/>
        <w:gridCol w:w="27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Decisión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Bloqueante para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Opciones o criterios de decisión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Fecha límite máxima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Nombre definitivo del producto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Dominio, deploy, branding, documentación pública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Criterios: disponibilidad de dominio .com/.es, no conflicto de marca registrada, pronunciable en español. Proceso: brainstorm → shortlist → búsqueda de marcas → decisión.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Antes de iniciar Fase 2 (mes 3). No bloquea Fase 1.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Branding (identidad visual)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Web promocional, app, materiales de marketing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Requiere nombre definitivo. Opciones: diseñador freelance (Behance/Upwork), herramientas AI (Looka, Brandmark), hacer en Figma propio.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Mes 2-3. No bloquea Fase 1.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Modelo de negocio definitivo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Implementación de pagos, pricing de API, portal B2B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Validar con primeros usuarios si el freemium funciona. Considerar: ¿B2B primero o B2C primero? ¿Open Core o SaaS hosted? Referencia: hablar con 5-10 restaurantes antes de decidir B2B pricing.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Antes de Fase 2 completa (mes 5). No bloquea Fase 1 ni Fase 2 inicial.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Plan de marketing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Campaña de lanzamiento web, crecimiento de usuarios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Requiere branding y modelo de negocio. Incluye: canales de adquisición, presupuesto, estrategia SEO, presencia en comunidades (Reddit nutrición, Forocoches dieta, grupos Telegram fitness España).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Mes 4 (4-6 semanas antes del lanzamiento de la app web).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Licencia open source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Publicación del repo público, contribuidores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MIT (más permisiva, facilita adopción) vs Apache 2.0 (protección de patentes) vs AGPL (obliga a open source los forks hosted). Para modelo Open Core: AGPL para el core + licencia comercial para features premium.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Antes de hacer el repo público (fin de Fase 1 o inicio de Fase 2).</w:t>
            </w:r>
          </w:p>
        </w:tc>
      </w:tr>
    </w:tbl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5C" w:sz="6" w:space="4"/>
        </w:pBdr>
        <w:spacing w:before="480" w:after="160"/>
      </w:pPr>
      <w:r>
        <w:rPr>
          <w:rFonts w:ascii="Arial" w:cs="Arial" w:eastAsia="Arial" w:hAnsi="Arial"/>
          <w:b/>
          <w:bCs/>
          <w:color w:val="1B3A5C"/>
          <w:sz w:val="38"/>
          <w:szCs w:val="38"/>
        </w:rPr>
        <w:t xml:space="preserve">8. Gestión de riesgos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Los riesgos de mayor impacto para este proyecto están en tres categorías: calidad de datos, viabilidad técnica del motor, y velocidad de crecimiento. Este mapa se revisa al inicio de cada fase.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8.1 Riesgos críticos (Alta probabilidad × Alto impacto)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800"/>
        <w:gridCol w:w="55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Mitigación concreta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Los scrapers de cadenas fallan o son bloqueados por anti-bot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ALTO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Plan B para cada cadena: entrada manual de datos desde PDF de carta + valores nutricionales. El scraper es una mejora, no el único método. Comenzar con cadenas que tienen datos en PDF descargable (McDonald's, Subway, Five Guys).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Motor de estimación Nivel 2 produce errores &gt; ±30% de forma sistemática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ALTO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El nivel de confianza MEDIUM siempre visible. Ground truth: 30 platos con valores reales como benchmark de regresión en CI. Si precisión &lt; umbral → confidence level baja a LOW automáticamente. Nunca presentar estimación mala como buena.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Coste de tokens LLM escala con el volumen y supera presupuesto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ALTO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Cache Redis con TTL 24h desde el primer día (F024). Monitorizar coste/consulta semanalmente. Si supera 0.05€/consulta → revisar qué llamadas no están cacheadas. Cap de gasto mensual en OpenAI/Anthropic configurado desde el día 1.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8.2 Riesgos importantes (Probabilidad media)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800"/>
        <w:gridCol w:w="55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4530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4530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4530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4530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Mitigación concreta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Schema de BD requiere cambio estructural costoso en Fase 2+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BAJA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ALTO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El schema de E001 se revisa con el database-architect agent antes de hacer merge. ADR-001 documenta las decisiones de diseño. Campos JSONB (extra) para flexibilidad sin migrations. Principio: ningún modelo de datos se migra sin spec S001-SXXX aprobada.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Competidor (MyFitnessPal, Fitia) pivota hacia restaurantes España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ALTO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Velocidad de construcción de la BD como ventaja defensiva: cada mes de datos es un moat. Open source como foso: si el código es público, la comunidad construye sobre él. Foco en calidad de datos (verificados) vs cantidad (no verificados de apps grandes).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Los restaurantes no quieren gestionar sus propios datos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BAJA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MEDIO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Empezar con cadenas que ya publican sus datos (McDonald's, etc.) — ellas no necesitan gestión. El portal B2B es para Fase 2. En Fase 1, todos los datos son scraping + manual. La propuesta de valor B2B se valida con entrevistas antes de construir el portal.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Deuda técnica acumulada bloquea velocidad en Fase 2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MEDIO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SDD y TDD son la mitigación principal. El quick-scan hook detecta code smells antes de cada commit. Regla: si el PR tiene &gt; 500 líneas de cambio, dividirlo. El code-review-specialist agent revisa antes de cada merge.</w:t>
            </w:r>
          </w:p>
        </w:tc>
      </w:tr>
    </w:tbl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5C" w:sz="6" w:space="4"/>
        </w:pBdr>
        <w:spacing w:before="480" w:after="160"/>
      </w:pPr>
      <w:r>
        <w:rPr>
          <w:rFonts w:ascii="Arial" w:cs="Arial" w:eastAsia="Arial" w:hAnsi="Arial"/>
          <w:b/>
          <w:bCs/>
          <w:color w:val="1B3A5C"/>
          <w:sz w:val="38"/>
          <w:szCs w:val="38"/>
        </w:rPr>
        <w:t xml:space="preserve">9. Criterios de éxito y KPIs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Los criterios de éxito son la definición operacional de "el proyecto avanza bien". Se miden al final de cada fase y sirven de go/no-go para avanzar a la siguiente.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9.1 Fase 1 — Bot MVP (semana 6)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Fuente de medición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Usuarios activos en Telegram (≥1 consulta en 7 días)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≥ 100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query_log (F029)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Captación orgánica: comunidades fitness, Twitter/X, grupos Telegram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Cadenas con datos nutricionales verificados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≥ 10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BD: count(restaurant_chains)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Las 10 cadenas del plan E002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Latencia P95 de respuesta del bot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&lt; 3 segundos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query_log.response_ms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Incluye llamada LLM + BD + caché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Coste promedio de tokens LLM por consulta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&lt; 0.05€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Facturación OpenAI/Anthropic / nº consultas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Caché Redis reduciendo llamadas al 70%+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Errores críticos (confidence HIGH con valor incorrecto)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0 en consultas monitorizadas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Sentry + revisión manual semanal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Revisión manual de 50 consultas/semana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Test coverage del motor de estimación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≥ 80%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Jest coverage report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Especialmente Nivel 1 y Nivel 2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9.2 Fase 2 — Web (mes 5)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Fuente de medición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Suscriptores newsletter pre-lanzamiento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≥ 500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Mailchimp/Brevo dashboard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Antes de lanzar la app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Usuarios registrados en la app web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≥ 1.000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BD: count(users)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Restaurantes con datos verificados (no solo cadenas)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≥ 50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BD: count(restaurants WHERE verified=true)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 menos 5 no pertenecientes a cadenas nacionales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Desarrolladores con API key activa (≥1 llamada en 30 días)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≥ 10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query_log.source=api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Posición Google "valores nutricionales + [cadena española]"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Top 3 en ≥ 5 cadenas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Google Search Console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Cadenas: McDonald's ES, BK ES, KFC ES, Subway ES, Telepizza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Net Promoter Score (encuesta in-app)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≥ 40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Encuesta con Typeform/Tally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Muestra: ≥ 50 respuestas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9.3 Fase 3 — Móvil (mes 9)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Fuente de medición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Monthly Active Users (MAU)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≥ 10.000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Analytics (Mixpanel/Amplitude o simple)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Combinado web + app + bot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Restaurantes con datos verificados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≥ 200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BD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 store rating (iOS + Android)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≥ 4.2 ★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 Store Connect / Google Play Console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 ≥ 50 valoraciones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Retención a 30 días (usuarios que vuelven)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≥ 25%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Analytics: cohort analysis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Indicador de product-market fit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Cadenas / restaurantes con programa B2B de pago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≥ 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CRM / facturación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Validación del modelo B2B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Desarrolladores con API key activa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≥ 50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query_log.source=api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9.4 Indicadores de salud del desarrollo (seguimiento semanal)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Más allá de los KPIs de producto, estos indicadores miden la salud del proceso de desarrollo:</w:t>
      </w:r>
    </w:p>
    <w:p>
      <w:pPr>
        <w:spacing w:before="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Velocidad de features: ¿cuántas features pasan de spec aprobada a merge en la semana? Target: ≥2/semana en Fase 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Tasa de bugs post-merge: bugs encontrados después del merge (deberían ser 0 si el qa-engineer hace su trabajo)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Tiempo medio de ciclo: desde /start-task hasta merge. Si supera 3 días en features simples, revisar el tamaño de las tasks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ADRs registrados: cada decisión de arquitectura importante debe tener su ADR. Si hay code reviews donde se discute arquitectura sin ADR → señal de que falta documentar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Coste de tokens vs proyección: revisar semanalmente si el caché está funcionando según lo esperado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9.5 El momento de la adquisición — indicadores objetivo</w:t>
      </w:r>
    </w:p>
    <w:p>
      <w:pPr>
        <w:pBdr>
          <w:left w:val="single" w:color="7C3AED" w:sz="12" w:space="6"/>
        </w:pBdr>
        <w:shd w:fill="F5F3FF" w:val="clear"/>
        <w:spacing w:before="120" w:after="80"/>
        <w:ind w:left="180" w:right="18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La estrategia de largo plazo incluye la posibilidad de adquisición por empresa grande (comparable a cómo Nutritionix fue adquirida). Estos son los indicadores que hacen el proyecto atractivo: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 qué es relevante para una adquisición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BD con &gt; 500 cadenas / 50K platos verificados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El dato es el activo. Una BD verificada a esa escala no se replica en 2 años. Es el moat real.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Contratos B2B con cadenas nacionales reconocidas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Valida el modelo de negocio y proporciona ingresos recurrentes que justifican una valoración.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MAU &gt; 100K con retención &gt; 30%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Audiencia fidelizada en nutrición es valiosa para apps de salud, seguros, hospitales, distribuidores alimentarios.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API activa en &gt; 200 aplicaciones de terceros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Infraestructura de datos que otros ya dependen de ella. Desincentiva la replicación.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Presencia en &gt; 3 países hispanohablantes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Cobertura geográfica con datos verificados amplía el mercado potencial para el comprador.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top w:val="single" w:color="CBD5E1" w:sz="2"/>
          <w:bottom w:val="single" w:color="CBD5E1" w:sz="2"/>
          <w:left w:val="single" w:color="CBD5E1" w:sz="2"/>
          <w:right w:val="single" w:color="CBD5E1" w:sz="2"/>
        </w:pBdr>
        <w:shd w:fill="F8FAFC" w:val="clear"/>
        <w:spacing w:before="120" w:after="120"/>
        <w:ind w:left="200" w:right="200"/>
      </w:pPr>
      <w:r>
        <w:rPr>
          <w:rFonts w:ascii="Arial" w:cs="Arial" w:eastAsia="Arial" w:hAnsi="Arial"/>
          <w:b/>
          <w:bCs/>
          <w:color w:val="1B3A5C"/>
          <w:sz w:val="19"/>
          <w:szCs w:val="19"/>
        </w:rPr>
        <w:t xml:space="preserve">Este plan es un documento vivo.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Se revisa al inicio de cada fase y se actualiza cuando cambian las condiciones del mercado, las decisiones técnicas o los criterios de éxito. La memoria institucional del proyecto vive en docs/project_notes/. Este documento vive junto al PRD y el schema de BD como la triada de referencia del proyecto.</w:t>
      </w:r>
    </w:p>
    <w:p>
      <w:pPr>
        <w:spacing w:before="0" w:after="40"/>
      </w:pPr>
      <w:r>
        <w:t xml:space="preserve"/>
      </w:r>
    </w:p>
    <w:p>
      <w:pPr>
        <w:spacing w:before="80" w:after="0"/>
        <w:jc w:val="center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Versión 1.0  ·  Marzo 2026  ·  NutriTrack (nombre provisional)  ·  Spec-Driven Development + SDD DevFlow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1B3A5C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20" w:after="100"/>
      <w:outlineLvl w:val="1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2563E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2026-03-10T15:10:44.397Z</dcterms:created>
  <dcterms:modified xsi:type="dcterms:W3CDTF">2026-03-10T15:10:44.398Z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