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C2" w:rsidRPr="006D6EE9" w:rsidRDefault="00BD644E">
      <w:pPr>
        <w:rPr>
          <w:lang w:val="pt-BR"/>
        </w:rPr>
      </w:pPr>
      <w:r w:rsidRPr="006D6EE9">
        <w:rPr>
          <w:lang w:val="pt-BR"/>
        </w:rPr>
        <w:t xml:space="preserve">Equacionamento </w:t>
      </w:r>
      <w:proofErr w:type="spellStart"/>
      <w:proofErr w:type="gramStart"/>
      <w:r w:rsidRPr="006D6EE9">
        <w:rPr>
          <w:lang w:val="pt-BR"/>
        </w:rPr>
        <w:t>fSi</w:t>
      </w:r>
      <w:proofErr w:type="spellEnd"/>
      <w:proofErr w:type="gramEnd"/>
    </w:p>
    <w:p w:rsidR="002057CC" w:rsidRPr="006D6EE9" w:rsidRDefault="002057CC">
      <w:pPr>
        <w:rPr>
          <w:lang w:val="pt-BR"/>
        </w:rPr>
      </w:pPr>
    </w:p>
    <w:p w:rsidR="006E2C10" w:rsidRPr="00542402" w:rsidRDefault="006E2C10">
      <w:pPr>
        <w:rPr>
          <w:b/>
          <w:lang w:val="pt-BR"/>
        </w:rPr>
      </w:pPr>
      <w:r w:rsidRPr="00542402">
        <w:rPr>
          <w:b/>
          <w:lang w:val="pt-BR"/>
        </w:rPr>
        <w:t xml:space="preserve">Equações Gerais de Conservação em Domínio </w:t>
      </w:r>
      <w:proofErr w:type="spellStart"/>
      <w:r w:rsidRPr="00542402">
        <w:rPr>
          <w:b/>
          <w:lang w:val="pt-BR"/>
        </w:rPr>
        <w:t>Multi-fásico</w:t>
      </w:r>
      <w:proofErr w:type="spellEnd"/>
    </w:p>
    <w:p w:rsidR="006E2C10" w:rsidRDefault="006E2C10">
      <w:pPr>
        <w:rPr>
          <w:lang w:val="pt-BR"/>
        </w:rPr>
      </w:pPr>
    </w:p>
    <w:p w:rsidR="006E2C10" w:rsidRPr="006E2C10" w:rsidRDefault="006E2C10">
      <w:pPr>
        <w:rPr>
          <w:lang w:val="pt-BR"/>
        </w:rPr>
      </w:pPr>
      <w:r w:rsidRPr="006E2C10">
        <w:rPr>
          <w:lang w:val="pt-BR"/>
        </w:rPr>
        <w:t>Espécies Químicas:</w:t>
      </w:r>
    </w:p>
    <w:p w:rsidR="006E2C10" w:rsidRPr="006E2C10" w:rsidRDefault="006E2C10" w:rsidP="006E2C10">
      <w:pPr>
        <w:jc w:val="center"/>
        <w:rPr>
          <w:lang w:val="pt-BR"/>
        </w:rPr>
      </w:pPr>
      <w:r w:rsidRPr="006E2C10">
        <w:rPr>
          <w:lang w:val="pt-BR"/>
        </w:rPr>
        <w:object w:dxaOrig="7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34.5pt" o:ole="">
            <v:imagedata r:id="rId4" o:title=""/>
          </v:shape>
          <o:OLEObject Type="Embed" ProgID="Equation.DSMT4" ShapeID="_x0000_i1025" DrawAspect="Content" ObjectID="_1390055421" r:id="rId5"/>
        </w:object>
      </w:r>
    </w:p>
    <w:p w:rsidR="006E2C10" w:rsidRPr="006E2C10" w:rsidRDefault="006E2C10" w:rsidP="006E2C10">
      <w:pPr>
        <w:rPr>
          <w:lang w:val="pt-BR"/>
        </w:rPr>
      </w:pPr>
      <w:r w:rsidRPr="006E2C10">
        <w:rPr>
          <w:lang w:val="pt-BR"/>
        </w:rPr>
        <w:t>Continuidade:</w:t>
      </w:r>
    </w:p>
    <w:p w:rsidR="006E2C10" w:rsidRDefault="006E2C10" w:rsidP="006E2C10">
      <w:pPr>
        <w:jc w:val="center"/>
        <w:rPr>
          <w:position w:val="-30"/>
          <w:lang w:val="pt-BR"/>
        </w:rPr>
      </w:pPr>
      <w:r w:rsidRPr="00323557">
        <w:rPr>
          <w:position w:val="-30"/>
          <w:lang w:val="pt-BR"/>
        </w:rPr>
        <w:object w:dxaOrig="3960" w:dyaOrig="720">
          <v:shape id="_x0000_i1026" type="#_x0000_t75" style="width:198.75pt;height:36pt" o:ole="">
            <v:imagedata r:id="rId6" o:title=""/>
          </v:shape>
          <o:OLEObject Type="Embed" ProgID="Equation.DSMT4" ShapeID="_x0000_i1026" DrawAspect="Content" ObjectID="_1390055422" r:id="rId7"/>
        </w:object>
      </w:r>
    </w:p>
    <w:p w:rsidR="006E2C10" w:rsidRDefault="006E2C10" w:rsidP="006E2C10">
      <w:pPr>
        <w:rPr>
          <w:position w:val="-30"/>
          <w:lang w:val="pt-BR"/>
        </w:rPr>
      </w:pPr>
      <w:r>
        <w:rPr>
          <w:position w:val="-30"/>
          <w:lang w:val="pt-BR"/>
        </w:rPr>
        <w:t>Transferência de Soluto por mudança de fase:</w:t>
      </w:r>
    </w:p>
    <w:p w:rsidR="006E2C10" w:rsidRDefault="006E2C10" w:rsidP="006E2C10">
      <w:pPr>
        <w:jc w:val="center"/>
      </w:pPr>
      <w:r w:rsidRPr="006E2C10">
        <w:object w:dxaOrig="3019" w:dyaOrig="740">
          <v:shape id="_x0000_i1027" type="#_x0000_t75" style="width:150.75pt;height:36.75pt" o:ole="">
            <v:imagedata r:id="rId8" o:title=""/>
          </v:shape>
          <o:OLEObject Type="Embed" ProgID="Equation.DSMT4" ShapeID="_x0000_i1027" DrawAspect="Content" ObjectID="_1390055423" r:id="rId9"/>
        </w:object>
      </w:r>
    </w:p>
    <w:p w:rsidR="006E2C10" w:rsidRDefault="006E2C10" w:rsidP="006E2C10">
      <w:pPr>
        <w:rPr>
          <w:lang w:val="pt-BR"/>
        </w:rPr>
      </w:pPr>
      <w:r w:rsidRPr="006E2C10">
        <w:rPr>
          <w:lang w:val="pt-BR"/>
        </w:rPr>
        <w:t xml:space="preserve">Transferência de </w:t>
      </w:r>
      <w:r w:rsidR="00A82340">
        <w:rPr>
          <w:lang w:val="pt-BR"/>
        </w:rPr>
        <w:t>soluto</w:t>
      </w:r>
      <w:r w:rsidRPr="006E2C10">
        <w:rPr>
          <w:lang w:val="pt-BR"/>
        </w:rPr>
        <w:t xml:space="preserve"> por difusão entre as fases:</w:t>
      </w:r>
    </w:p>
    <w:p w:rsidR="006E2C10" w:rsidRDefault="006E2C10" w:rsidP="006E2C10">
      <w:pPr>
        <w:jc w:val="center"/>
        <w:rPr>
          <w:position w:val="-36"/>
        </w:rPr>
      </w:pPr>
      <w:r w:rsidRPr="003A669C">
        <w:rPr>
          <w:position w:val="-36"/>
        </w:rPr>
        <w:object w:dxaOrig="2079" w:dyaOrig="740">
          <v:shape id="_x0000_i1028" type="#_x0000_t75" style="width:103.5pt;height:36.75pt" o:ole="">
            <v:imagedata r:id="rId10" o:title=""/>
          </v:shape>
          <o:OLEObject Type="Embed" ProgID="Equation.DSMT4" ShapeID="_x0000_i1028" DrawAspect="Content" ObjectID="_1390055424" r:id="rId11"/>
        </w:object>
      </w:r>
    </w:p>
    <w:p w:rsidR="006E2C10" w:rsidRPr="00542402" w:rsidRDefault="00542402" w:rsidP="00542402">
      <w:pPr>
        <w:rPr>
          <w:lang w:val="pt-BR"/>
        </w:rPr>
      </w:pPr>
      <w:r w:rsidRPr="00542402">
        <w:rPr>
          <w:lang w:val="pt-BR"/>
        </w:rPr>
        <w:t>Termo de transferência de massa por transformaç</w:t>
      </w:r>
      <w:r>
        <w:rPr>
          <w:lang w:val="pt-BR"/>
        </w:rPr>
        <w:t>ão de fase:</w:t>
      </w:r>
    </w:p>
    <w:p w:rsidR="006E2C10" w:rsidRDefault="006E2C10" w:rsidP="006E2C10">
      <w:pPr>
        <w:jc w:val="center"/>
      </w:pPr>
      <w:r w:rsidRPr="006E2C10">
        <w:object w:dxaOrig="2820" w:dyaOrig="740">
          <v:shape id="_x0000_i1029" type="#_x0000_t75" style="width:141.75pt;height:36.75pt" o:ole="">
            <v:imagedata r:id="rId12" o:title=""/>
          </v:shape>
          <o:OLEObject Type="Embed" ProgID="Equation.DSMT4" ShapeID="_x0000_i1029" DrawAspect="Content" ObjectID="_1390055425" r:id="rId13"/>
        </w:object>
      </w:r>
    </w:p>
    <w:p w:rsidR="00542402" w:rsidRDefault="00542402" w:rsidP="00542402">
      <w:proofErr w:type="spellStart"/>
      <w:r>
        <w:t>Conservação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interface:</w:t>
      </w:r>
    </w:p>
    <w:p w:rsidR="006E2C10" w:rsidRDefault="006E2C10" w:rsidP="006E2C10">
      <w:pPr>
        <w:jc w:val="center"/>
        <w:rPr>
          <w:position w:val="-14"/>
        </w:rPr>
      </w:pPr>
      <w:r w:rsidRPr="008D1443">
        <w:rPr>
          <w:position w:val="-14"/>
        </w:rPr>
        <w:object w:dxaOrig="2020" w:dyaOrig="400">
          <v:shape id="_x0000_i1030" type="#_x0000_t75" style="width:101.25pt;height:20.25pt" o:ole="">
            <v:imagedata r:id="rId14" o:title=""/>
          </v:shape>
          <o:OLEObject Type="Embed" ProgID="Equation.DSMT4" ShapeID="_x0000_i1030" DrawAspect="Content" ObjectID="_1390055426" r:id="rId15"/>
        </w:object>
      </w:r>
    </w:p>
    <w:bookmarkStart w:id="0" w:name="_Ref283474507"/>
    <w:p w:rsidR="006E2C10" w:rsidRDefault="006E2C10" w:rsidP="006E2C10">
      <w:pPr>
        <w:jc w:val="center"/>
        <w:rPr>
          <w:position w:val="-14"/>
        </w:rPr>
      </w:pPr>
      <w:r w:rsidRPr="008D1443">
        <w:rPr>
          <w:position w:val="-14"/>
        </w:rPr>
        <w:object w:dxaOrig="1040" w:dyaOrig="380">
          <v:shape id="_x0000_i1031" type="#_x0000_t75" style="width:51.75pt;height:19.5pt" o:ole="">
            <v:imagedata r:id="rId16" o:title=""/>
          </v:shape>
          <o:OLEObject Type="Embed" ProgID="Equation.DSMT4" ShapeID="_x0000_i1031" DrawAspect="Content" ObjectID="_1390055427" r:id="rId17"/>
        </w:object>
      </w:r>
      <w:bookmarkEnd w:id="0"/>
    </w:p>
    <w:p w:rsidR="006E2C10" w:rsidRPr="006E2C10" w:rsidRDefault="006E2C10">
      <w:pPr>
        <w:rPr>
          <w:lang w:val="pt-BR"/>
        </w:rPr>
      </w:pPr>
    </w:p>
    <w:p w:rsidR="006E2C10" w:rsidRDefault="006E2C10">
      <w:pPr>
        <w:rPr>
          <w:b/>
          <w:lang w:val="pt-BR"/>
        </w:rPr>
      </w:pPr>
      <w:r w:rsidRPr="00542402">
        <w:rPr>
          <w:b/>
          <w:lang w:val="pt-BR"/>
        </w:rPr>
        <w:t xml:space="preserve">Líquido </w:t>
      </w:r>
      <w:proofErr w:type="spellStart"/>
      <w:r w:rsidRPr="00542402">
        <w:rPr>
          <w:b/>
          <w:lang w:val="pt-BR"/>
        </w:rPr>
        <w:t>Interdendrítico</w:t>
      </w:r>
      <w:proofErr w:type="spellEnd"/>
      <w:r w:rsidRPr="00542402">
        <w:rPr>
          <w:b/>
          <w:lang w:val="pt-BR"/>
        </w:rPr>
        <w:t xml:space="preserve"> no referencial do envelope:</w:t>
      </w:r>
    </w:p>
    <w:p w:rsidR="00542402" w:rsidRPr="00542402" w:rsidRDefault="00542402">
      <w:pPr>
        <w:rPr>
          <w:b/>
          <w:lang w:val="pt-BR"/>
        </w:rPr>
      </w:pPr>
    </w:p>
    <w:p w:rsidR="006E2C10" w:rsidRDefault="00542402" w:rsidP="006E2C10">
      <w:pPr>
        <w:jc w:val="center"/>
      </w:pPr>
      <w:r w:rsidRPr="00542402">
        <w:rPr>
          <w:position w:val="-22"/>
        </w:rPr>
        <w:object w:dxaOrig="5260" w:dyaOrig="600">
          <v:shape id="_x0000_i1032" type="#_x0000_t75" style="width:369.75pt;height:42pt" o:ole="">
            <v:imagedata r:id="rId18" o:title=""/>
          </v:shape>
          <o:OLEObject Type="Embed" ProgID="Equation.DSMT4" ShapeID="_x0000_i1032" DrawAspect="Content" ObjectID="_1390055428" r:id="rId19"/>
        </w:object>
      </w:r>
    </w:p>
    <w:p w:rsidR="00542402" w:rsidRDefault="00542402" w:rsidP="00542402">
      <w:pPr>
        <w:rPr>
          <w:lang w:val="pt-BR"/>
        </w:rPr>
      </w:pPr>
      <w:r w:rsidRPr="00542402">
        <w:rPr>
          <w:lang w:val="pt-BR"/>
        </w:rPr>
        <w:t>Como a densidade do liquid</w:t>
      </w:r>
      <w:r>
        <w:rPr>
          <w:lang w:val="pt-BR"/>
        </w:rPr>
        <w:t>o</w:t>
      </w:r>
      <w:r w:rsidRPr="00542402">
        <w:rPr>
          <w:lang w:val="pt-BR"/>
        </w:rPr>
        <w:t xml:space="preserve"> ser</w:t>
      </w:r>
      <w:r>
        <w:rPr>
          <w:lang w:val="pt-BR"/>
        </w:rPr>
        <w:t xml:space="preserve">á considerada constante e igual a do líquido </w:t>
      </w:r>
      <w:proofErr w:type="spellStart"/>
      <w:r>
        <w:rPr>
          <w:lang w:val="pt-BR"/>
        </w:rPr>
        <w:t>extradendrítico</w:t>
      </w:r>
      <w:proofErr w:type="spellEnd"/>
      <w:r>
        <w:rPr>
          <w:lang w:val="pt-BR"/>
        </w:rPr>
        <w:t>:</w:t>
      </w:r>
    </w:p>
    <w:p w:rsidR="00542402" w:rsidRDefault="00542402" w:rsidP="00542402">
      <w:r w:rsidRPr="00542402">
        <w:rPr>
          <w:position w:val="-22"/>
        </w:rPr>
        <w:object w:dxaOrig="5179" w:dyaOrig="600">
          <v:shape id="_x0000_i1033" type="#_x0000_t75" style="width:364.5pt;height:42pt" o:ole="">
            <v:imagedata r:id="rId20" o:title=""/>
          </v:shape>
          <o:OLEObject Type="Embed" ProgID="Equation.DSMT4" ShapeID="_x0000_i1033" DrawAspect="Content" ObjectID="_1390055429" r:id="rId21"/>
        </w:object>
      </w:r>
    </w:p>
    <w:p w:rsidR="00C503B4" w:rsidRDefault="00C503B4" w:rsidP="00542402"/>
    <w:p w:rsidR="00C503B4" w:rsidRDefault="00C503B4" w:rsidP="00542402">
      <w:pPr>
        <w:rPr>
          <w:lang w:val="pt-BR"/>
        </w:rPr>
      </w:pPr>
      <w:r w:rsidRPr="00C503B4">
        <w:rPr>
          <w:lang w:val="pt-BR"/>
        </w:rPr>
        <w:t xml:space="preserve">Como a difusão no </w:t>
      </w:r>
      <w:proofErr w:type="spellStart"/>
      <w:r w:rsidRPr="00C503B4">
        <w:rPr>
          <w:lang w:val="pt-BR"/>
        </w:rPr>
        <w:t>liquid</w:t>
      </w:r>
      <w:proofErr w:type="spellEnd"/>
      <w:r w:rsidRPr="00C503B4">
        <w:rPr>
          <w:lang w:val="pt-BR"/>
        </w:rPr>
        <w:t xml:space="preserve"> </w:t>
      </w:r>
      <w:proofErr w:type="spellStart"/>
      <w:r w:rsidRPr="00C503B4">
        <w:rPr>
          <w:lang w:val="pt-BR"/>
        </w:rPr>
        <w:t>interdendr</w:t>
      </w:r>
      <w:r>
        <w:rPr>
          <w:lang w:val="pt-BR"/>
        </w:rPr>
        <w:t>ítico</w:t>
      </w:r>
      <w:proofErr w:type="spellEnd"/>
      <w:r>
        <w:rPr>
          <w:lang w:val="pt-BR"/>
        </w:rPr>
        <w:t xml:space="preserve"> será desprezada e a convecção na entrada do volume representativo também:</w:t>
      </w:r>
    </w:p>
    <w:p w:rsidR="00C503B4" w:rsidRDefault="00C503B4" w:rsidP="00C503B4">
      <w:pPr>
        <w:jc w:val="center"/>
      </w:pPr>
      <w:r w:rsidRPr="00542402">
        <w:rPr>
          <w:position w:val="-22"/>
        </w:rPr>
        <w:object w:dxaOrig="2820" w:dyaOrig="600">
          <v:shape id="_x0000_i1034" type="#_x0000_t75" style="width:198.75pt;height:42pt" o:ole="">
            <v:imagedata r:id="rId22" o:title=""/>
          </v:shape>
          <o:OLEObject Type="Embed" ProgID="Equation.DSMT4" ShapeID="_x0000_i1034" DrawAspect="Content" ObjectID="_1390055430" r:id="rId23"/>
        </w:object>
      </w:r>
    </w:p>
    <w:p w:rsidR="00C503B4" w:rsidRDefault="00C503B4" w:rsidP="00C503B4">
      <w:pPr>
        <w:jc w:val="center"/>
      </w:pPr>
      <w:r w:rsidRPr="00542402">
        <w:rPr>
          <w:position w:val="-22"/>
        </w:rPr>
        <w:object w:dxaOrig="2960" w:dyaOrig="600">
          <v:shape id="_x0000_i1035" type="#_x0000_t75" style="width:208.5pt;height:42pt" o:ole="">
            <v:imagedata r:id="rId24" o:title=""/>
          </v:shape>
          <o:OLEObject Type="Embed" ProgID="Equation.DSMT4" ShapeID="_x0000_i1035" DrawAspect="Content" ObjectID="_1390055431" r:id="rId25"/>
        </w:object>
      </w:r>
    </w:p>
    <w:p w:rsidR="00C503B4" w:rsidRDefault="00C503B4" w:rsidP="00C503B4">
      <w:pPr>
        <w:rPr>
          <w:lang w:val="pt-BR"/>
        </w:rPr>
      </w:pPr>
      <w:r>
        <w:rPr>
          <w:lang w:val="pt-BR"/>
        </w:rPr>
        <w:t>Desprezando a difusão no sólido:</w:t>
      </w:r>
    </w:p>
    <w:p w:rsidR="00C503B4" w:rsidRDefault="00C503B4" w:rsidP="00C503B4">
      <w:pPr>
        <w:jc w:val="center"/>
      </w:pPr>
      <w:r w:rsidRPr="00542402">
        <w:rPr>
          <w:position w:val="-22"/>
        </w:rPr>
        <w:object w:dxaOrig="2500" w:dyaOrig="600">
          <v:shape id="_x0000_i1036" type="#_x0000_t75" style="width:175.5pt;height:42pt" o:ole="">
            <v:imagedata r:id="rId26" o:title=""/>
          </v:shape>
          <o:OLEObject Type="Embed" ProgID="Equation.DSMT4" ShapeID="_x0000_i1036" DrawAspect="Content" ObjectID="_1390055432" r:id="rId27"/>
        </w:object>
      </w:r>
    </w:p>
    <w:p w:rsidR="00C503B4" w:rsidRDefault="00C503B4" w:rsidP="00C503B4">
      <w:pPr>
        <w:jc w:val="center"/>
      </w:pPr>
      <w:r w:rsidRPr="00C503B4">
        <w:rPr>
          <w:position w:val="-36"/>
        </w:rPr>
        <w:object w:dxaOrig="6900" w:dyaOrig="740">
          <v:shape id="_x0000_i1037" type="#_x0000_t75" style="width:485.25pt;height:51.75pt" o:ole="">
            <v:imagedata r:id="rId28" o:title=""/>
          </v:shape>
          <o:OLEObject Type="Embed" ProgID="Equation.DSMT4" ShapeID="_x0000_i1037" DrawAspect="Content" ObjectID="_1390055433" r:id="rId29"/>
        </w:object>
      </w:r>
    </w:p>
    <w:p w:rsidR="00C503B4" w:rsidRDefault="00C503B4" w:rsidP="00C503B4">
      <w:pPr>
        <w:jc w:val="center"/>
      </w:pPr>
      <w:r w:rsidRPr="00C503B4">
        <w:rPr>
          <w:position w:val="-36"/>
        </w:rPr>
        <w:object w:dxaOrig="5740" w:dyaOrig="740">
          <v:shape id="_x0000_i1038" type="#_x0000_t75" style="width:403.5pt;height:51.75pt" o:ole="">
            <v:imagedata r:id="rId30" o:title=""/>
          </v:shape>
          <o:OLEObject Type="Embed" ProgID="Equation.DSMT4" ShapeID="_x0000_i1038" DrawAspect="Content" ObjectID="_1390055434" r:id="rId31"/>
        </w:object>
      </w:r>
    </w:p>
    <w:p w:rsidR="00CD2537" w:rsidRDefault="00CD2537" w:rsidP="00C503B4">
      <w:pPr>
        <w:jc w:val="center"/>
      </w:pPr>
    </w:p>
    <w:p w:rsidR="00CD2537" w:rsidRDefault="00CD2537" w:rsidP="00C503B4">
      <w:pPr>
        <w:jc w:val="center"/>
      </w:pPr>
      <w:r w:rsidRPr="00C503B4">
        <w:rPr>
          <w:position w:val="-36"/>
        </w:rPr>
        <w:object w:dxaOrig="7320" w:dyaOrig="760">
          <v:shape id="_x0000_i1039" type="#_x0000_t75" style="width:515.25pt;height:53.25pt" o:ole="">
            <v:imagedata r:id="rId32" o:title=""/>
          </v:shape>
          <o:OLEObject Type="Embed" ProgID="Equation.DSMT4" ShapeID="_x0000_i1039" DrawAspect="Content" ObjectID="_1390055435" r:id="rId33"/>
        </w:object>
      </w:r>
    </w:p>
    <w:p w:rsidR="00CD2537" w:rsidRPr="00CD2537" w:rsidRDefault="00CD2537" w:rsidP="00C503B4">
      <w:pPr>
        <w:jc w:val="center"/>
        <w:rPr>
          <w:lang w:val="pt-BR"/>
        </w:rPr>
      </w:pPr>
      <w:r w:rsidRPr="00CD2537">
        <w:rPr>
          <w:lang w:val="pt-BR"/>
        </w:rPr>
        <w:t xml:space="preserve">Desconsiderando o crescimento </w:t>
      </w:r>
      <w:proofErr w:type="spellStart"/>
      <w:r w:rsidRPr="00CD2537">
        <w:rPr>
          <w:lang w:val="pt-BR"/>
        </w:rPr>
        <w:t>globulítico</w:t>
      </w:r>
      <w:proofErr w:type="spellEnd"/>
      <w:r w:rsidRPr="00CD2537">
        <w:rPr>
          <w:lang w:val="pt-BR"/>
        </w:rPr>
        <w:t xml:space="preserve">, o termo interfacial pode ser </w:t>
      </w:r>
      <w:proofErr w:type="spellStart"/>
      <w:r w:rsidRPr="00CD2537">
        <w:rPr>
          <w:lang w:val="pt-BR"/>
        </w:rPr>
        <w:t>substituido</w:t>
      </w:r>
      <w:proofErr w:type="spellEnd"/>
      <w:r w:rsidRPr="00CD2537">
        <w:rPr>
          <w:lang w:val="pt-BR"/>
        </w:rPr>
        <w:t xml:space="preserve"> por:</w:t>
      </w:r>
    </w:p>
    <w:p w:rsidR="00CD2537" w:rsidRDefault="00CD2537" w:rsidP="00C503B4">
      <w:pPr>
        <w:jc w:val="center"/>
        <w:rPr>
          <w:lang w:val="pt-BR"/>
        </w:rPr>
      </w:pPr>
    </w:p>
    <w:p w:rsidR="00CD2537" w:rsidRDefault="00CD2537" w:rsidP="00C503B4">
      <w:pPr>
        <w:jc w:val="center"/>
      </w:pPr>
      <w:r w:rsidRPr="00CD2537">
        <w:rPr>
          <w:position w:val="-30"/>
        </w:rPr>
        <w:object w:dxaOrig="5620" w:dyaOrig="700">
          <v:shape id="_x0000_i1040" type="#_x0000_t75" style="width:395.25pt;height:48.75pt" o:ole="">
            <v:imagedata r:id="rId34" o:title=""/>
          </v:shape>
          <o:OLEObject Type="Embed" ProgID="Equation.DSMT4" ShapeID="_x0000_i1040" DrawAspect="Content" ObjectID="_1390055436" r:id="rId35"/>
        </w:object>
      </w:r>
    </w:p>
    <w:p w:rsidR="00CD2537" w:rsidRDefault="00CD2537" w:rsidP="00C503B4">
      <w:pPr>
        <w:jc w:val="center"/>
      </w:pPr>
    </w:p>
    <w:p w:rsidR="00CD2537" w:rsidRPr="00CD2537" w:rsidRDefault="00CD2537" w:rsidP="00C503B4">
      <w:pPr>
        <w:jc w:val="center"/>
        <w:rPr>
          <w:lang w:val="pt-BR"/>
        </w:rPr>
      </w:pPr>
      <w:r w:rsidRPr="00CD2537">
        <w:rPr>
          <w:position w:val="-30"/>
        </w:rPr>
        <w:object w:dxaOrig="7380" w:dyaOrig="700">
          <v:shape id="_x0000_i1041" type="#_x0000_t75" style="width:519pt;height:48.75pt" o:ole="">
            <v:imagedata r:id="rId36" o:title=""/>
          </v:shape>
          <o:OLEObject Type="Embed" ProgID="Equation.DSMT4" ShapeID="_x0000_i1041" DrawAspect="Content" ObjectID="_1390055437" r:id="rId37"/>
        </w:object>
      </w:r>
    </w:p>
    <w:p w:rsidR="00C503B4" w:rsidRDefault="00C503B4" w:rsidP="00542402">
      <w:pPr>
        <w:rPr>
          <w:lang w:val="pt-BR"/>
        </w:rPr>
      </w:pPr>
    </w:p>
    <w:p w:rsidR="00CD2537" w:rsidRDefault="00CD2537" w:rsidP="00CD2537">
      <w:pPr>
        <w:jc w:val="center"/>
      </w:pPr>
      <w:r w:rsidRPr="00CD2537">
        <w:rPr>
          <w:position w:val="-26"/>
        </w:rPr>
        <w:object w:dxaOrig="5660" w:dyaOrig="600">
          <v:shape id="_x0000_i1042" type="#_x0000_t75" style="width:398.25pt;height:42pt" o:ole="">
            <v:imagedata r:id="rId38" o:title=""/>
          </v:shape>
          <o:OLEObject Type="Embed" ProgID="Equation.DSMT4" ShapeID="_x0000_i1042" DrawAspect="Content" ObjectID="_1390055438" r:id="rId39"/>
        </w:object>
      </w:r>
    </w:p>
    <w:p w:rsidR="00CD2537" w:rsidRDefault="00CD2537" w:rsidP="00CD2537">
      <w:pPr>
        <w:jc w:val="center"/>
      </w:pPr>
    </w:p>
    <w:p w:rsidR="00CD2537" w:rsidRDefault="00CD2537" w:rsidP="00CD2537">
      <w:pPr>
        <w:jc w:val="center"/>
        <w:rPr>
          <w:lang w:val="pt-BR"/>
        </w:rPr>
      </w:pPr>
      <w:r w:rsidRPr="00CD2537">
        <w:rPr>
          <w:position w:val="-26"/>
        </w:rPr>
        <w:object w:dxaOrig="6000" w:dyaOrig="600">
          <v:shape id="_x0000_i1043" type="#_x0000_t75" style="width:422.25pt;height:42pt" o:ole="">
            <v:imagedata r:id="rId40" o:title=""/>
          </v:shape>
          <o:OLEObject Type="Embed" ProgID="Equation.DSMT4" ShapeID="_x0000_i1043" DrawAspect="Content" ObjectID="_1390055439" r:id="rId41"/>
        </w:object>
      </w:r>
    </w:p>
    <w:p w:rsidR="00CD2537" w:rsidRPr="00C503B4" w:rsidRDefault="00CD2537" w:rsidP="00542402">
      <w:pPr>
        <w:rPr>
          <w:lang w:val="pt-BR"/>
        </w:rPr>
      </w:pPr>
    </w:p>
    <w:p w:rsidR="00542402" w:rsidRPr="00542402" w:rsidRDefault="00542402" w:rsidP="00542402">
      <w:pPr>
        <w:rPr>
          <w:lang w:val="pt-BR"/>
        </w:rPr>
      </w:pPr>
      <w:r w:rsidRPr="00542402">
        <w:rPr>
          <w:lang w:val="pt-BR"/>
        </w:rPr>
        <w:t xml:space="preserve">Equação da Continuidade para Líquido </w:t>
      </w:r>
      <w:proofErr w:type="spellStart"/>
      <w:r w:rsidRPr="00542402">
        <w:rPr>
          <w:lang w:val="pt-BR"/>
        </w:rPr>
        <w:t>Interdendr</w:t>
      </w:r>
      <w:r>
        <w:rPr>
          <w:lang w:val="pt-BR"/>
        </w:rPr>
        <w:t>ítico</w:t>
      </w:r>
      <w:proofErr w:type="spellEnd"/>
      <w:r>
        <w:rPr>
          <w:lang w:val="pt-BR"/>
        </w:rPr>
        <w:t>:</w:t>
      </w:r>
    </w:p>
    <w:p w:rsidR="006E2C10" w:rsidRDefault="006E2C10" w:rsidP="006E2C10">
      <w:pPr>
        <w:jc w:val="center"/>
      </w:pPr>
      <w:r w:rsidRPr="006E2C10">
        <w:object w:dxaOrig="3220" w:dyaOrig="600">
          <v:shape id="_x0000_i1044" type="#_x0000_t75" style="width:226.5pt;height:42pt" o:ole="">
            <v:imagedata r:id="rId42" o:title=""/>
          </v:shape>
          <o:OLEObject Type="Embed" ProgID="Equation.DSMT4" ShapeID="_x0000_i1044" DrawAspect="Content" ObjectID="_1390055440" r:id="rId43"/>
        </w:object>
      </w:r>
    </w:p>
    <w:p w:rsidR="00542402" w:rsidRDefault="00542402" w:rsidP="006E2C10">
      <w:pPr>
        <w:jc w:val="center"/>
      </w:pPr>
      <w:r w:rsidRPr="00542402">
        <w:rPr>
          <w:position w:val="-22"/>
        </w:rPr>
        <w:object w:dxaOrig="3000" w:dyaOrig="560">
          <v:shape id="_x0000_i1045" type="#_x0000_t75" style="width:210.75pt;height:39pt" o:ole="">
            <v:imagedata r:id="rId44" o:title=""/>
          </v:shape>
          <o:OLEObject Type="Embed" ProgID="Equation.DSMT4" ShapeID="_x0000_i1045" DrawAspect="Content" ObjectID="_1390055441" r:id="rId45"/>
        </w:object>
      </w:r>
    </w:p>
    <w:p w:rsidR="006E2C10" w:rsidRDefault="006E2C10"/>
    <w:p w:rsidR="006E2C10" w:rsidRPr="006E2C10" w:rsidRDefault="006E2C10">
      <w:pPr>
        <w:rPr>
          <w:lang w:val="pt-BR"/>
        </w:rPr>
      </w:pPr>
      <w:r w:rsidRPr="006E2C10">
        <w:rPr>
          <w:lang w:val="pt-BR"/>
        </w:rPr>
        <w:t>Sólido no referencial do envelope:</w:t>
      </w:r>
    </w:p>
    <w:p w:rsidR="006E2C10" w:rsidRDefault="006E2C10" w:rsidP="006E2C10">
      <w:pPr>
        <w:jc w:val="center"/>
      </w:pPr>
      <w:r w:rsidRPr="006E2C10">
        <w:rPr>
          <w:position w:val="-22"/>
        </w:rPr>
        <w:object w:dxaOrig="3080" w:dyaOrig="600">
          <v:shape id="_x0000_i1046" type="#_x0000_t75" style="width:216.75pt;height:42pt" o:ole="">
            <v:imagedata r:id="rId46" o:title=""/>
          </v:shape>
          <o:OLEObject Type="Embed" ProgID="Equation.DSMT4" ShapeID="_x0000_i1046" DrawAspect="Content" ObjectID="_1390055442" r:id="rId47"/>
        </w:object>
      </w:r>
    </w:p>
    <w:p w:rsidR="006E2C10" w:rsidRDefault="006E2C10">
      <w:pPr>
        <w:rPr>
          <w:lang w:val="pt-BR"/>
        </w:rPr>
      </w:pPr>
      <w:r w:rsidRPr="006E2C10">
        <w:rPr>
          <w:lang w:val="pt-BR"/>
        </w:rPr>
        <w:t>Como a velocidade do sólido para o pr</w:t>
      </w:r>
      <w:r>
        <w:rPr>
          <w:lang w:val="pt-BR"/>
        </w:rPr>
        <w:t>óprio grão é zero</w:t>
      </w:r>
      <w:r w:rsidR="00542402">
        <w:rPr>
          <w:lang w:val="pt-BR"/>
        </w:rPr>
        <w:t xml:space="preserve"> e densidade constante</w:t>
      </w:r>
      <w:r>
        <w:rPr>
          <w:lang w:val="pt-BR"/>
        </w:rPr>
        <w:t>:</w:t>
      </w:r>
    </w:p>
    <w:p w:rsidR="006E2C10" w:rsidRDefault="00542402" w:rsidP="00542402">
      <w:pPr>
        <w:jc w:val="center"/>
      </w:pPr>
      <w:r w:rsidRPr="006E2C10">
        <w:rPr>
          <w:position w:val="-22"/>
        </w:rPr>
        <w:object w:dxaOrig="1560" w:dyaOrig="560">
          <v:shape id="_x0000_i1047" type="#_x0000_t75" style="width:109.5pt;height:39pt" o:ole="">
            <v:imagedata r:id="rId48" o:title=""/>
          </v:shape>
          <o:OLEObject Type="Embed" ProgID="Equation.DSMT4" ShapeID="_x0000_i1047" DrawAspect="Content" ObjectID="_1390055443" r:id="rId49"/>
        </w:object>
      </w:r>
    </w:p>
    <w:p w:rsidR="00542402" w:rsidRDefault="00542402" w:rsidP="00542402">
      <w:pPr>
        <w:jc w:val="center"/>
      </w:pPr>
    </w:p>
    <w:p w:rsidR="00542402" w:rsidRDefault="00542402" w:rsidP="00542402">
      <w:pPr>
        <w:rPr>
          <w:lang w:val="pt-BR"/>
        </w:rPr>
      </w:pPr>
      <w:r w:rsidRPr="00542402">
        <w:rPr>
          <w:lang w:val="pt-BR"/>
        </w:rPr>
        <w:t xml:space="preserve">Para mistura entre </w:t>
      </w:r>
      <w:proofErr w:type="gramStart"/>
      <w:r w:rsidRPr="00542402">
        <w:rPr>
          <w:lang w:val="pt-BR"/>
        </w:rPr>
        <w:t>sólido e l</w:t>
      </w:r>
      <w:r>
        <w:rPr>
          <w:lang w:val="pt-BR"/>
        </w:rPr>
        <w:t xml:space="preserve">íquido </w:t>
      </w:r>
      <w:proofErr w:type="spellStart"/>
      <w:r>
        <w:rPr>
          <w:lang w:val="pt-BR"/>
        </w:rPr>
        <w:t>interdendrítico</w:t>
      </w:r>
      <w:proofErr w:type="spellEnd"/>
      <w:proofErr w:type="gramEnd"/>
      <w:r>
        <w:rPr>
          <w:lang w:val="pt-BR"/>
        </w:rPr>
        <w:t>, a continuidade fica:</w:t>
      </w:r>
    </w:p>
    <w:p w:rsidR="00542402" w:rsidRDefault="00542402" w:rsidP="00542402">
      <w:pPr>
        <w:jc w:val="center"/>
      </w:pPr>
      <w:r w:rsidRPr="00542402">
        <w:rPr>
          <w:position w:val="-22"/>
        </w:rPr>
        <w:object w:dxaOrig="3720" w:dyaOrig="560">
          <v:shape id="_x0000_i1048" type="#_x0000_t75" style="width:261.75pt;height:39pt" o:ole="">
            <v:imagedata r:id="rId50" o:title=""/>
          </v:shape>
          <o:OLEObject Type="Embed" ProgID="Equation.DSMT4" ShapeID="_x0000_i1048" DrawAspect="Content" ObjectID="_1390055444" r:id="rId51"/>
        </w:object>
      </w:r>
    </w:p>
    <w:p w:rsidR="00542402" w:rsidRDefault="00542402" w:rsidP="00542402">
      <w:pPr>
        <w:jc w:val="center"/>
      </w:pPr>
      <w:r w:rsidRPr="00542402">
        <w:rPr>
          <w:position w:val="-22"/>
        </w:rPr>
        <w:object w:dxaOrig="4239" w:dyaOrig="580">
          <v:shape id="_x0000_i1049" type="#_x0000_t75" style="width:298.5pt;height:40.5pt" o:ole="">
            <v:imagedata r:id="rId52" o:title=""/>
          </v:shape>
          <o:OLEObject Type="Embed" ProgID="Equation.DSMT4" ShapeID="_x0000_i1049" DrawAspect="Content" ObjectID="_1390055445" r:id="rId53"/>
        </w:object>
      </w:r>
    </w:p>
    <w:p w:rsidR="00E77565" w:rsidRDefault="00E77565" w:rsidP="00542402">
      <w:pPr>
        <w:jc w:val="center"/>
      </w:pPr>
    </w:p>
    <w:p w:rsidR="00204C5D" w:rsidRDefault="00204C5D" w:rsidP="00542402">
      <w:pPr>
        <w:jc w:val="center"/>
        <w:rPr>
          <w:lang w:val="pt-BR"/>
        </w:rPr>
      </w:pPr>
      <w:r w:rsidRPr="00204C5D">
        <w:rPr>
          <w:lang w:val="pt-BR"/>
        </w:rPr>
        <w:t>Se for considerado apenas um gr</w:t>
      </w:r>
      <w:r>
        <w:rPr>
          <w:lang w:val="pt-BR"/>
        </w:rPr>
        <w:t>ão, o termo convectivo desaparece?</w:t>
      </w:r>
    </w:p>
    <w:p w:rsidR="00204C5D" w:rsidRDefault="00204C5D" w:rsidP="00542402">
      <w:pPr>
        <w:jc w:val="center"/>
      </w:pPr>
      <w:r w:rsidRPr="00542402">
        <w:rPr>
          <w:position w:val="-22"/>
        </w:rPr>
        <w:object w:dxaOrig="2799" w:dyaOrig="580">
          <v:shape id="_x0000_i1050" type="#_x0000_t75" style="width:197.25pt;height:40.5pt" o:ole="">
            <v:imagedata r:id="rId54" o:title=""/>
          </v:shape>
          <o:OLEObject Type="Embed" ProgID="Equation.DSMT4" ShapeID="_x0000_i1050" DrawAspect="Content" ObjectID="_1390055446" r:id="rId55"/>
        </w:object>
      </w:r>
    </w:p>
    <w:p w:rsidR="00204C5D" w:rsidRDefault="00204C5D" w:rsidP="00542402">
      <w:pPr>
        <w:jc w:val="center"/>
        <w:rPr>
          <w:lang w:val="pt-BR"/>
        </w:rPr>
      </w:pPr>
    </w:p>
    <w:p w:rsidR="00204C5D" w:rsidRPr="00204C5D" w:rsidRDefault="00204C5D" w:rsidP="00542402">
      <w:pPr>
        <w:jc w:val="center"/>
        <w:rPr>
          <w:lang w:val="pt-BR"/>
        </w:rPr>
      </w:pPr>
      <w:r w:rsidRPr="00204C5D">
        <w:rPr>
          <w:position w:val="-36"/>
        </w:rPr>
        <w:object w:dxaOrig="5679" w:dyaOrig="720">
          <v:shape id="_x0000_i1051" type="#_x0000_t75" style="width:399.75pt;height:50.25pt" o:ole="">
            <v:imagedata r:id="rId56" o:title=""/>
          </v:shape>
          <o:OLEObject Type="Embed" ProgID="Equation.DSMT4" ShapeID="_x0000_i1051" DrawAspect="Content" ObjectID="_1390055447" r:id="rId57"/>
        </w:object>
      </w:r>
    </w:p>
    <w:p w:rsidR="00542402" w:rsidRDefault="00542402" w:rsidP="00542402">
      <w:proofErr w:type="spellStart"/>
      <w:r>
        <w:t>Líquido</w:t>
      </w:r>
      <w:proofErr w:type="spellEnd"/>
      <w:r>
        <w:t xml:space="preserve"> </w:t>
      </w:r>
      <w:proofErr w:type="spellStart"/>
      <w:r>
        <w:t>Extradendrítico</w:t>
      </w:r>
      <w:proofErr w:type="spellEnd"/>
      <w:r>
        <w:t>:</w:t>
      </w:r>
    </w:p>
    <w:p w:rsidR="00542402" w:rsidRDefault="00542402" w:rsidP="00542402">
      <w:pPr>
        <w:jc w:val="center"/>
      </w:pPr>
      <w:r w:rsidRPr="00542402">
        <w:rPr>
          <w:position w:val="-22"/>
        </w:rPr>
        <w:object w:dxaOrig="2940" w:dyaOrig="600">
          <v:shape id="_x0000_i1052" type="#_x0000_t75" style="width:207pt;height:42pt" o:ole="">
            <v:imagedata r:id="rId58" o:title=""/>
          </v:shape>
          <o:OLEObject Type="Embed" ProgID="Equation.DSMT4" ShapeID="_x0000_i1052" DrawAspect="Content" ObjectID="_1390055448" r:id="rId59"/>
        </w:object>
      </w:r>
    </w:p>
    <w:p w:rsidR="00204C5D" w:rsidRDefault="00204C5D" w:rsidP="00542402">
      <w:pPr>
        <w:jc w:val="center"/>
      </w:pPr>
    </w:p>
    <w:p w:rsidR="00542402" w:rsidRDefault="00542402" w:rsidP="00542402">
      <w:pPr>
        <w:jc w:val="center"/>
      </w:pPr>
      <w:r w:rsidRPr="00542402">
        <w:rPr>
          <w:position w:val="-36"/>
        </w:rPr>
        <w:object w:dxaOrig="6000" w:dyaOrig="720">
          <v:shape id="_x0000_i1053" type="#_x0000_t75" style="width:422.25pt;height:50.25pt" o:ole="">
            <v:imagedata r:id="rId60" o:title=""/>
          </v:shape>
          <o:OLEObject Type="Embed" ProgID="Equation.DSMT4" ShapeID="_x0000_i1053" DrawAspect="Content" ObjectID="_1390055449" r:id="rId61"/>
        </w:object>
      </w:r>
    </w:p>
    <w:p w:rsidR="00E77565" w:rsidRPr="00E77565" w:rsidRDefault="00E77565" w:rsidP="00E77565">
      <w:pPr>
        <w:rPr>
          <w:lang w:val="pt-BR"/>
        </w:rPr>
      </w:pPr>
      <w:r w:rsidRPr="00E77565">
        <w:rPr>
          <w:lang w:val="pt-BR"/>
        </w:rPr>
        <w:t>Como a variação de fração de gr</w:t>
      </w:r>
      <w:r w:rsidR="00A82340">
        <w:rPr>
          <w:lang w:val="pt-BR"/>
        </w:rPr>
        <w:t>ão pode ser dada</w:t>
      </w:r>
      <w:r>
        <w:rPr>
          <w:lang w:val="pt-BR"/>
        </w:rPr>
        <w:t xml:space="preserve"> pela integral de superfície da velocidade da movimentação de interface da fase líquida </w:t>
      </w:r>
      <w:proofErr w:type="spellStart"/>
      <w:r>
        <w:rPr>
          <w:lang w:val="pt-BR"/>
        </w:rPr>
        <w:t>extradendrítica</w:t>
      </w:r>
      <w:proofErr w:type="spellEnd"/>
      <w:r>
        <w:rPr>
          <w:lang w:val="pt-BR"/>
        </w:rPr>
        <w:t>:</w:t>
      </w:r>
    </w:p>
    <w:p w:rsidR="00E77565" w:rsidRDefault="00E77565" w:rsidP="00542402">
      <w:pPr>
        <w:jc w:val="center"/>
      </w:pPr>
      <w:r w:rsidRPr="00542402">
        <w:rPr>
          <w:position w:val="-36"/>
        </w:rPr>
        <w:object w:dxaOrig="3280" w:dyaOrig="720">
          <v:shape id="_x0000_i1054" type="#_x0000_t75" style="width:231pt;height:50.25pt" o:ole="">
            <v:imagedata r:id="rId62" o:title=""/>
          </v:shape>
          <o:OLEObject Type="Embed" ProgID="Equation.DSMT4" ShapeID="_x0000_i1054" DrawAspect="Content" ObjectID="_1390055450" r:id="rId63"/>
        </w:object>
      </w:r>
    </w:p>
    <w:p w:rsidR="00E77565" w:rsidRDefault="00E77565" w:rsidP="00542402">
      <w:pPr>
        <w:jc w:val="center"/>
      </w:pPr>
    </w:p>
    <w:p w:rsidR="00E77565" w:rsidRDefault="00E77565" w:rsidP="00542402">
      <w:pPr>
        <w:jc w:val="center"/>
      </w:pPr>
      <w:r w:rsidRPr="00542402">
        <w:rPr>
          <w:position w:val="-36"/>
        </w:rPr>
        <w:object w:dxaOrig="4599" w:dyaOrig="740">
          <v:shape id="_x0000_i1055" type="#_x0000_t75" style="width:323.25pt;height:51.75pt" o:ole="">
            <v:imagedata r:id="rId64" o:title=""/>
          </v:shape>
          <o:OLEObject Type="Embed" ProgID="Equation.DSMT4" ShapeID="_x0000_i1055" DrawAspect="Content" ObjectID="_1390055451" r:id="rId65"/>
        </w:object>
      </w:r>
    </w:p>
    <w:p w:rsidR="00E77565" w:rsidRDefault="00E77565" w:rsidP="00E77565"/>
    <w:p w:rsidR="00E77565" w:rsidRDefault="00E77565" w:rsidP="00E77565">
      <w:pPr>
        <w:rPr>
          <w:lang w:val="pt-BR"/>
        </w:rPr>
      </w:pPr>
      <w:r w:rsidRPr="00E77565">
        <w:rPr>
          <w:lang w:val="pt-BR"/>
        </w:rPr>
        <w:t>Nestas equações, é notado que é imposs</w:t>
      </w:r>
      <w:r>
        <w:rPr>
          <w:lang w:val="pt-BR"/>
        </w:rPr>
        <w:t xml:space="preserve">ível ter densidades diferentes para sólido e líquido sem haver permeabilidade do grão para o líquido </w:t>
      </w:r>
      <w:proofErr w:type="spellStart"/>
      <w:r>
        <w:rPr>
          <w:lang w:val="pt-BR"/>
        </w:rPr>
        <w:t>extradendrítico</w:t>
      </w:r>
      <w:proofErr w:type="spellEnd"/>
      <w:r>
        <w:rPr>
          <w:lang w:val="pt-BR"/>
        </w:rPr>
        <w:t>, porém, este termo pode ser desprezado.</w:t>
      </w:r>
    </w:p>
    <w:p w:rsidR="006D6EE9" w:rsidRDefault="006D6EE9" w:rsidP="00E77565">
      <w:pPr>
        <w:rPr>
          <w:lang w:val="pt-BR"/>
        </w:rPr>
      </w:pPr>
    </w:p>
    <w:p w:rsidR="006D6EE9" w:rsidRDefault="006D6EE9" w:rsidP="00E77565">
      <w:pPr>
        <w:rPr>
          <w:lang w:val="pt-BR"/>
        </w:rPr>
      </w:pPr>
      <w:r>
        <w:rPr>
          <w:lang w:val="pt-BR"/>
        </w:rPr>
        <w:t>Via fácil:</w:t>
      </w:r>
    </w:p>
    <w:p w:rsidR="006D6EE9" w:rsidRDefault="006D6EE9" w:rsidP="00E77565">
      <w:pPr>
        <w:rPr>
          <w:lang w:val="pt-BR"/>
        </w:rPr>
      </w:pPr>
    </w:p>
    <w:p w:rsidR="006D6EE9" w:rsidRDefault="006D6EE9" w:rsidP="00E77565">
      <w:pPr>
        <w:rPr>
          <w:position w:val="-22"/>
        </w:rPr>
      </w:pPr>
      <w:r w:rsidRPr="00542402">
        <w:rPr>
          <w:position w:val="-22"/>
        </w:rPr>
        <w:object w:dxaOrig="2960" w:dyaOrig="600">
          <v:shape id="_x0000_i1056" type="#_x0000_t75" style="width:208.5pt;height:42pt" o:ole="">
            <v:imagedata r:id="rId24" o:title=""/>
          </v:shape>
          <o:OLEObject Type="Embed" ProgID="Equation.DSMT4" ShapeID="_x0000_i1056" DrawAspect="Content" ObjectID="_1390055452" r:id="rId66"/>
        </w:object>
      </w:r>
    </w:p>
    <w:p w:rsidR="006D6EE9" w:rsidRDefault="006D6EE9" w:rsidP="00E77565">
      <w:pPr>
        <w:rPr>
          <w:position w:val="-22"/>
        </w:rPr>
      </w:pPr>
    </w:p>
    <w:p w:rsidR="006D6EE9" w:rsidRDefault="0076231D" w:rsidP="00E77565">
      <w:pPr>
        <w:rPr>
          <w:position w:val="-22"/>
        </w:rPr>
      </w:pPr>
      <w:r w:rsidRPr="006D6EE9">
        <w:rPr>
          <w:position w:val="-26"/>
        </w:rPr>
        <w:object w:dxaOrig="5319" w:dyaOrig="600">
          <v:shape id="_x0000_i1067" type="#_x0000_t75" style="width:373.5pt;height:42pt" o:ole="">
            <v:imagedata r:id="rId67" o:title=""/>
          </v:shape>
          <o:OLEObject Type="Embed" ProgID="Equation.DSMT4" ShapeID="_x0000_i1067" DrawAspect="Content" ObjectID="_1390055453" r:id="rId68"/>
        </w:object>
      </w:r>
    </w:p>
    <w:p w:rsidR="006D6EE9" w:rsidRDefault="006D6EE9" w:rsidP="00E77565">
      <w:pPr>
        <w:rPr>
          <w:position w:val="-22"/>
        </w:rPr>
      </w:pPr>
    </w:p>
    <w:p w:rsidR="006D6EE9" w:rsidRDefault="000E260B" w:rsidP="00E77565">
      <w:pPr>
        <w:rPr>
          <w:position w:val="-22"/>
        </w:rPr>
      </w:pPr>
      <w:r w:rsidRPr="000E260B">
        <w:rPr>
          <w:position w:val="-22"/>
        </w:rPr>
        <w:object w:dxaOrig="1460" w:dyaOrig="560">
          <v:shape id="_x0000_i1057" type="#_x0000_t75" style="width:102.75pt;height:39pt" o:ole="">
            <v:imagedata r:id="rId69" o:title=""/>
          </v:shape>
          <o:OLEObject Type="Embed" ProgID="Equation.DSMT4" ShapeID="_x0000_i1057" DrawAspect="Content" ObjectID="_1390055454" r:id="rId70"/>
        </w:object>
      </w:r>
    </w:p>
    <w:p w:rsidR="000E260B" w:rsidRDefault="000E260B" w:rsidP="00E77565">
      <w:pPr>
        <w:rPr>
          <w:position w:val="-22"/>
        </w:rPr>
      </w:pPr>
    </w:p>
    <w:p w:rsidR="000E260B" w:rsidRDefault="000E260B" w:rsidP="00E77565">
      <w:pPr>
        <w:rPr>
          <w:position w:val="-22"/>
        </w:rPr>
      </w:pPr>
      <w:r w:rsidRPr="000E260B">
        <w:rPr>
          <w:position w:val="-22"/>
        </w:rPr>
        <w:object w:dxaOrig="1640" w:dyaOrig="560">
          <v:shape id="_x0000_i1058" type="#_x0000_t75" style="width:115.5pt;height:39pt" o:ole="">
            <v:imagedata r:id="rId71" o:title=""/>
          </v:shape>
          <o:OLEObject Type="Embed" ProgID="Equation.DSMT4" ShapeID="_x0000_i1058" DrawAspect="Content" ObjectID="_1390055455" r:id="rId72"/>
        </w:object>
      </w:r>
    </w:p>
    <w:p w:rsidR="000E260B" w:rsidRDefault="000E260B" w:rsidP="00E77565">
      <w:pPr>
        <w:rPr>
          <w:position w:val="-22"/>
        </w:rPr>
      </w:pPr>
    </w:p>
    <w:p w:rsidR="000E260B" w:rsidRDefault="000E260B" w:rsidP="00E77565">
      <w:pPr>
        <w:rPr>
          <w:position w:val="-22"/>
        </w:rPr>
      </w:pPr>
      <w:r w:rsidRPr="000E260B">
        <w:rPr>
          <w:position w:val="-12"/>
        </w:rPr>
        <w:object w:dxaOrig="3540" w:dyaOrig="400">
          <v:shape id="_x0000_i1059" type="#_x0000_t75" style="width:236.25pt;height:27pt" o:ole="">
            <v:imagedata r:id="rId73" o:title=""/>
          </v:shape>
          <o:OLEObject Type="Embed" ProgID="Equation.DSMT4" ShapeID="_x0000_i1059" DrawAspect="Content" ObjectID="_1390055456" r:id="rId74"/>
        </w:object>
      </w:r>
    </w:p>
    <w:p w:rsidR="000E260B" w:rsidRDefault="000E260B" w:rsidP="00E77565">
      <w:pPr>
        <w:rPr>
          <w:position w:val="-22"/>
        </w:rPr>
      </w:pPr>
      <w:r w:rsidRPr="000E260B">
        <w:rPr>
          <w:position w:val="-20"/>
        </w:rPr>
        <w:object w:dxaOrig="2260" w:dyaOrig="499">
          <v:shape id="_x0000_i1060" type="#_x0000_t75" style="width:150.75pt;height:33.75pt" o:ole="">
            <v:imagedata r:id="rId75" o:title=""/>
          </v:shape>
          <o:OLEObject Type="Embed" ProgID="Equation.DSMT4" ShapeID="_x0000_i1060" DrawAspect="Content" ObjectID="_1390055457" r:id="rId76"/>
        </w:object>
      </w:r>
    </w:p>
    <w:p w:rsidR="0076231D" w:rsidRDefault="0076231D" w:rsidP="00E77565">
      <w:pPr>
        <w:rPr>
          <w:position w:val="-22"/>
        </w:rPr>
      </w:pPr>
    </w:p>
    <w:p w:rsidR="0076231D" w:rsidRDefault="0076231D" w:rsidP="00E77565">
      <w:pPr>
        <w:rPr>
          <w:position w:val="-22"/>
        </w:rPr>
      </w:pPr>
      <w:r w:rsidRPr="0076231D">
        <w:rPr>
          <w:position w:val="-22"/>
        </w:rPr>
        <w:object w:dxaOrig="2500" w:dyaOrig="560">
          <v:shape id="_x0000_i1061" type="#_x0000_t75" style="width:185.25pt;height:41.25pt" o:ole="">
            <v:imagedata r:id="rId77" o:title=""/>
          </v:shape>
          <o:OLEObject Type="Embed" ProgID="Equation.DSMT4" ShapeID="_x0000_i1061" DrawAspect="Content" ObjectID="_1390055458" r:id="rId78"/>
        </w:object>
      </w:r>
    </w:p>
    <w:p w:rsidR="0076231D" w:rsidRDefault="0076231D" w:rsidP="00E77565">
      <w:pPr>
        <w:rPr>
          <w:position w:val="-22"/>
        </w:rPr>
      </w:pPr>
    </w:p>
    <w:p w:rsidR="000E260B" w:rsidRDefault="000E260B" w:rsidP="00E77565">
      <w:pPr>
        <w:rPr>
          <w:lang w:val="pt-BR"/>
        </w:rPr>
      </w:pPr>
    </w:p>
    <w:p w:rsidR="0076231D" w:rsidRDefault="0076231D" w:rsidP="00E77565">
      <w:pPr>
        <w:rPr>
          <w:position w:val="-22"/>
        </w:rPr>
      </w:pPr>
      <w:r w:rsidRPr="0076231D">
        <w:rPr>
          <w:position w:val="-22"/>
        </w:rPr>
        <w:object w:dxaOrig="1640" w:dyaOrig="560">
          <v:shape id="_x0000_i1062" type="#_x0000_t75" style="width:121.5pt;height:41.25pt" o:ole="">
            <v:imagedata r:id="rId79" o:title=""/>
          </v:shape>
          <o:OLEObject Type="Embed" ProgID="Equation.DSMT4" ShapeID="_x0000_i1062" DrawAspect="Content" ObjectID="_1390055459" r:id="rId80"/>
        </w:object>
      </w:r>
    </w:p>
    <w:p w:rsidR="0076231D" w:rsidRDefault="0076231D" w:rsidP="00E77565">
      <w:pPr>
        <w:rPr>
          <w:position w:val="-22"/>
        </w:rPr>
      </w:pPr>
      <w:r w:rsidRPr="0076231D">
        <w:rPr>
          <w:position w:val="-22"/>
        </w:rPr>
        <w:object w:dxaOrig="2340" w:dyaOrig="560">
          <v:shape id="_x0000_i1063" type="#_x0000_t75" style="width:173.25pt;height:41.25pt" o:ole="">
            <v:imagedata r:id="rId81" o:title=""/>
          </v:shape>
          <o:OLEObject Type="Embed" ProgID="Equation.DSMT4" ShapeID="_x0000_i1063" DrawAspect="Content" ObjectID="_1390055460" r:id="rId82"/>
        </w:object>
      </w:r>
    </w:p>
    <w:p w:rsidR="0076231D" w:rsidRDefault="0076231D" w:rsidP="00E77565">
      <w:pPr>
        <w:rPr>
          <w:lang w:val="pt-BR"/>
        </w:rPr>
      </w:pPr>
    </w:p>
    <w:p w:rsidR="0076231D" w:rsidRDefault="0076231D" w:rsidP="00E77565">
      <w:pPr>
        <w:rPr>
          <w:position w:val="-22"/>
        </w:rPr>
      </w:pPr>
      <w:r w:rsidRPr="006D6EE9">
        <w:rPr>
          <w:position w:val="-26"/>
        </w:rPr>
        <w:object w:dxaOrig="8100" w:dyaOrig="600">
          <v:shape id="_x0000_i1068" type="#_x0000_t75" style="width:427.5pt;height:31.5pt" o:ole="">
            <v:imagedata r:id="rId83" o:title=""/>
          </v:shape>
          <o:OLEObject Type="Embed" ProgID="Equation.DSMT4" ShapeID="_x0000_i1068" DrawAspect="Content" ObjectID="_1390055461" r:id="rId84"/>
        </w:object>
      </w:r>
    </w:p>
    <w:p w:rsidR="0076231D" w:rsidRDefault="0076231D" w:rsidP="00E77565">
      <w:pPr>
        <w:rPr>
          <w:position w:val="-22"/>
        </w:rPr>
      </w:pPr>
    </w:p>
    <w:p w:rsidR="0076231D" w:rsidRDefault="0076231D" w:rsidP="00E77565">
      <w:pPr>
        <w:rPr>
          <w:position w:val="-22"/>
        </w:rPr>
      </w:pPr>
    </w:p>
    <w:p w:rsidR="0076231D" w:rsidRDefault="0076231D" w:rsidP="00E77565">
      <w:pPr>
        <w:rPr>
          <w:position w:val="-22"/>
        </w:rPr>
      </w:pPr>
      <w:r w:rsidRPr="006D6EE9">
        <w:rPr>
          <w:position w:val="-26"/>
        </w:rPr>
        <w:object w:dxaOrig="4020" w:dyaOrig="600">
          <v:shape id="_x0000_i1069" type="#_x0000_t75" style="width:278.25pt;height:41.25pt" o:ole="">
            <v:imagedata r:id="rId85" o:title=""/>
          </v:shape>
          <o:OLEObject Type="Embed" ProgID="Equation.DSMT4" ShapeID="_x0000_i1069" DrawAspect="Content" ObjectID="_1390055462" r:id="rId86"/>
        </w:object>
      </w:r>
    </w:p>
    <w:p w:rsidR="0076231D" w:rsidRDefault="0076231D" w:rsidP="00E77565">
      <w:pPr>
        <w:rPr>
          <w:position w:val="-22"/>
        </w:rPr>
      </w:pPr>
    </w:p>
    <w:p w:rsidR="0076231D" w:rsidRDefault="0076231D" w:rsidP="00E77565">
      <w:pPr>
        <w:rPr>
          <w:position w:val="-22"/>
        </w:rPr>
      </w:pPr>
      <w:r w:rsidRPr="0076231D">
        <w:rPr>
          <w:position w:val="-28"/>
        </w:rPr>
        <w:object w:dxaOrig="5700" w:dyaOrig="660">
          <v:shape id="_x0000_i1066" type="#_x0000_t75" style="width:394.5pt;height:45pt" o:ole="">
            <v:imagedata r:id="rId87" o:title=""/>
          </v:shape>
          <o:OLEObject Type="Embed" ProgID="Equation.DSMT4" ShapeID="_x0000_i1066" DrawAspect="Content" ObjectID="_1390055463" r:id="rId88"/>
        </w:object>
      </w:r>
    </w:p>
    <w:p w:rsidR="0076231D" w:rsidRDefault="0076231D" w:rsidP="00E77565">
      <w:pPr>
        <w:rPr>
          <w:lang w:val="pt-BR"/>
        </w:rPr>
      </w:pPr>
    </w:p>
    <w:p w:rsidR="0076231D" w:rsidRDefault="0076231D" w:rsidP="00E77565">
      <w:pPr>
        <w:rPr>
          <w:position w:val="-22"/>
        </w:rPr>
      </w:pPr>
      <w:r w:rsidRPr="0076231D">
        <w:rPr>
          <w:position w:val="-28"/>
        </w:rPr>
        <w:object w:dxaOrig="5440" w:dyaOrig="660">
          <v:shape id="_x0000_i1064" type="#_x0000_t75" style="width:376.5pt;height:45pt" o:ole="">
            <v:imagedata r:id="rId89" o:title=""/>
          </v:shape>
          <o:OLEObject Type="Embed" ProgID="Equation.DSMT4" ShapeID="_x0000_i1064" DrawAspect="Content" ObjectID="_1390055464" r:id="rId90"/>
        </w:object>
      </w:r>
    </w:p>
    <w:p w:rsidR="0076231D" w:rsidRDefault="0076231D" w:rsidP="00E77565">
      <w:pPr>
        <w:rPr>
          <w:position w:val="-22"/>
        </w:rPr>
      </w:pPr>
    </w:p>
    <w:p w:rsidR="0076231D" w:rsidRDefault="0076231D" w:rsidP="00E77565">
      <w:pPr>
        <w:rPr>
          <w:position w:val="-22"/>
        </w:rPr>
      </w:pPr>
      <w:r w:rsidRPr="0076231D">
        <w:rPr>
          <w:position w:val="-28"/>
        </w:rPr>
        <w:object w:dxaOrig="4660" w:dyaOrig="660">
          <v:shape id="_x0000_i1065" type="#_x0000_t75" style="width:322.5pt;height:45pt" o:ole="">
            <v:imagedata r:id="rId91" o:title=""/>
          </v:shape>
          <o:OLEObject Type="Embed" ProgID="Equation.DSMT4" ShapeID="_x0000_i1065" DrawAspect="Content" ObjectID="_1390055465" r:id="rId92"/>
        </w:object>
      </w:r>
    </w:p>
    <w:bookmarkStart w:id="1" w:name="_Hlk316313302"/>
    <w:p w:rsidR="0076231D" w:rsidRDefault="00B97B8C" w:rsidP="00E77565">
      <w:pPr>
        <w:rPr>
          <w:position w:val="-22"/>
        </w:rPr>
      </w:pPr>
      <w:r w:rsidRPr="00B97B8C">
        <w:rPr>
          <w:position w:val="-22"/>
        </w:rPr>
        <w:object w:dxaOrig="2020" w:dyaOrig="580">
          <v:shape id="_x0000_i1070" type="#_x0000_t75" style="width:139.5pt;height:39.75pt" o:ole="">
            <v:imagedata r:id="rId93" o:title=""/>
          </v:shape>
          <o:OLEObject Type="Embed" ProgID="Equation.DSMT4" ShapeID="_x0000_i1070" DrawAspect="Content" ObjectID="_1390055466" r:id="rId94"/>
        </w:object>
      </w:r>
      <w:bookmarkEnd w:id="1"/>
    </w:p>
    <w:p w:rsidR="00B97B8C" w:rsidRDefault="00B50AA0" w:rsidP="00E77565">
      <w:pPr>
        <w:rPr>
          <w:lang w:val="pt-BR"/>
        </w:rPr>
      </w:pPr>
      <w:r w:rsidRPr="00B50AA0">
        <w:drawing>
          <wp:inline distT="0" distB="0" distL="0" distR="0">
            <wp:extent cx="1771650" cy="504825"/>
            <wp:effectExtent l="0" t="0" r="0" b="0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B8C" w:rsidRDefault="00B97B8C" w:rsidP="00E77565">
      <w:pPr>
        <w:rPr>
          <w:position w:val="-22"/>
        </w:rPr>
      </w:pPr>
      <w:r w:rsidRPr="0076231D">
        <w:rPr>
          <w:position w:val="-28"/>
        </w:rPr>
        <w:object w:dxaOrig="9999" w:dyaOrig="700">
          <v:shape id="_x0000_i1071" type="#_x0000_t75" style="width:594.75pt;height:41.25pt" o:ole="">
            <v:imagedata r:id="rId96" o:title=""/>
          </v:shape>
          <o:OLEObject Type="Embed" ProgID="Equation.DSMT4" ShapeID="_x0000_i1071" DrawAspect="Content" ObjectID="_1390055467" r:id="rId97"/>
        </w:object>
      </w:r>
    </w:p>
    <w:p w:rsidR="00B97B8C" w:rsidRDefault="00B97B8C" w:rsidP="00E77565">
      <w:pPr>
        <w:rPr>
          <w:position w:val="-22"/>
        </w:rPr>
      </w:pPr>
    </w:p>
    <w:p w:rsidR="00B97B8C" w:rsidRPr="00E77565" w:rsidRDefault="00B97B8C" w:rsidP="00E77565">
      <w:pPr>
        <w:rPr>
          <w:lang w:val="pt-BR"/>
        </w:rPr>
      </w:pPr>
    </w:p>
    <w:sectPr w:rsidR="00B97B8C" w:rsidRPr="00E77565" w:rsidSect="0049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44E"/>
    <w:rsid w:val="000C4692"/>
    <w:rsid w:val="000D535A"/>
    <w:rsid w:val="000E260B"/>
    <w:rsid w:val="00104FE4"/>
    <w:rsid w:val="001637A2"/>
    <w:rsid w:val="00204C5D"/>
    <w:rsid w:val="002057CC"/>
    <w:rsid w:val="003C32A5"/>
    <w:rsid w:val="00491AC2"/>
    <w:rsid w:val="00542402"/>
    <w:rsid w:val="00653947"/>
    <w:rsid w:val="006D6EE9"/>
    <w:rsid w:val="006E2C10"/>
    <w:rsid w:val="006F528B"/>
    <w:rsid w:val="0076231D"/>
    <w:rsid w:val="009E74A1"/>
    <w:rsid w:val="00A13574"/>
    <w:rsid w:val="00A772EB"/>
    <w:rsid w:val="00A82340"/>
    <w:rsid w:val="00AE13C2"/>
    <w:rsid w:val="00B32687"/>
    <w:rsid w:val="00B50AA0"/>
    <w:rsid w:val="00B97B8C"/>
    <w:rsid w:val="00BD644E"/>
    <w:rsid w:val="00BF6CE5"/>
    <w:rsid w:val="00C503B4"/>
    <w:rsid w:val="00CA35D2"/>
    <w:rsid w:val="00CD2537"/>
    <w:rsid w:val="00DE2541"/>
    <w:rsid w:val="00DE518A"/>
    <w:rsid w:val="00E32701"/>
    <w:rsid w:val="00E77565"/>
    <w:rsid w:val="00F44231"/>
    <w:rsid w:val="00FB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E4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04FE4"/>
    <w:pPr>
      <w:keepNext/>
      <w:tabs>
        <w:tab w:val="num" w:pos="432"/>
      </w:tabs>
      <w:ind w:left="432" w:hanging="432"/>
      <w:outlineLvl w:val="0"/>
    </w:pPr>
    <w:rPr>
      <w:rFonts w:ascii="Times New Roman" w:hAnsi="Times New Roman" w:cs="Arial"/>
      <w:b/>
      <w:bCs/>
      <w:caps/>
      <w:kern w:val="32"/>
      <w:sz w:val="28"/>
      <w:szCs w:val="28"/>
      <w:lang w:val="pt-BR" w:eastAsia="pt-BR"/>
    </w:rPr>
  </w:style>
  <w:style w:type="paragraph" w:styleId="Ttulo2">
    <w:name w:val="heading 2"/>
    <w:basedOn w:val="Normal"/>
    <w:next w:val="Normal"/>
    <w:link w:val="Ttulo2Char"/>
    <w:qFormat/>
    <w:rsid w:val="00104FE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104FE4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Ttulo4">
    <w:name w:val="heading 4"/>
    <w:basedOn w:val="Normal"/>
    <w:next w:val="Normal"/>
    <w:link w:val="Ttulo4Char"/>
    <w:qFormat/>
    <w:rsid w:val="00104FE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104FE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04FE4"/>
    <w:p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104FE4"/>
    <w:pPr>
      <w:spacing w:before="240" w:after="60"/>
      <w:outlineLvl w:val="6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04FE4"/>
    <w:rPr>
      <w:rFonts w:ascii="Times New Roman" w:hAnsi="Times New Roman" w:cs="Arial"/>
      <w:b/>
      <w:bCs/>
      <w:caps/>
      <w:kern w:val="32"/>
      <w:sz w:val="28"/>
      <w:szCs w:val="28"/>
      <w:lang w:val="pt-BR" w:eastAsia="pt-BR"/>
    </w:rPr>
  </w:style>
  <w:style w:type="character" w:customStyle="1" w:styleId="Ttulo2Char">
    <w:name w:val="Título 2 Char"/>
    <w:basedOn w:val="Fontepargpadro"/>
    <w:link w:val="Ttulo2"/>
    <w:rsid w:val="00104FE4"/>
    <w:rPr>
      <w:rFonts w:ascii="Arial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104FE4"/>
    <w:rPr>
      <w:rFonts w:ascii="Arial" w:eastAsia="Times New Roman" w:hAnsi="Arial"/>
      <w:b/>
      <w:bCs/>
      <w:sz w:val="28"/>
      <w:szCs w:val="24"/>
      <w:lang w:val="en-US" w:eastAsia="en-US"/>
    </w:rPr>
  </w:style>
  <w:style w:type="character" w:customStyle="1" w:styleId="Ttulo4Char">
    <w:name w:val="Título 4 Char"/>
    <w:basedOn w:val="Fontepargpadro"/>
    <w:link w:val="Ttulo4"/>
    <w:rsid w:val="00104FE4"/>
    <w:rPr>
      <w:rFonts w:ascii="Arial" w:eastAsia="Times New Roman" w:hAnsi="Arial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104FE4"/>
    <w:rPr>
      <w:rFonts w:ascii="Arial" w:eastAsia="Times New Roman" w:hAnsi="Arial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04FE4"/>
    <w:rPr>
      <w:rFonts w:ascii="Arial" w:eastAsia="Times New Roman" w:hAnsi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104FE4"/>
    <w:rPr>
      <w:rFonts w:ascii="Arial" w:eastAsia="Times New Roman" w:hAnsi="Arial"/>
      <w:sz w:val="24"/>
      <w:szCs w:val="24"/>
    </w:rPr>
  </w:style>
  <w:style w:type="paragraph" w:styleId="Legenda">
    <w:name w:val="caption"/>
    <w:basedOn w:val="Normal"/>
    <w:next w:val="Normal"/>
    <w:qFormat/>
    <w:rsid w:val="00104FE4"/>
    <w:rPr>
      <w:rFonts w:eastAsia="Times New Roman"/>
      <w:b/>
      <w:bCs/>
      <w:sz w:val="20"/>
      <w:szCs w:val="20"/>
    </w:rPr>
  </w:style>
  <w:style w:type="paragraph" w:styleId="Ttulo">
    <w:name w:val="Title"/>
    <w:basedOn w:val="Normal"/>
    <w:link w:val="TtuloChar"/>
    <w:qFormat/>
    <w:rsid w:val="00104FE4"/>
    <w:pPr>
      <w:spacing w:before="240" w:after="60"/>
      <w:jc w:val="center"/>
      <w:outlineLvl w:val="0"/>
    </w:pPr>
    <w:rPr>
      <w:rFonts w:eastAsia="Times New Roman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104FE4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04FE4"/>
    <w:pPr>
      <w:ind w:left="708"/>
    </w:pPr>
    <w:rPr>
      <w:rFonts w:eastAsia="Times New Roman"/>
      <w:sz w:val="20"/>
    </w:rPr>
  </w:style>
  <w:style w:type="paragraph" w:customStyle="1" w:styleId="PargrafodaLista1">
    <w:name w:val="Parágrafo da Lista1"/>
    <w:basedOn w:val="Normal"/>
    <w:qFormat/>
    <w:rsid w:val="00104FE4"/>
    <w:pPr>
      <w:ind w:left="720"/>
      <w:contextualSpacing/>
    </w:pPr>
    <w:rPr>
      <w:rFonts w:eastAsia="Times New Roman"/>
    </w:rPr>
  </w:style>
  <w:style w:type="paragraph" w:customStyle="1" w:styleId="textoTabela">
    <w:name w:val="texto Tabela"/>
    <w:basedOn w:val="PargrafodaLista"/>
    <w:autoRedefine/>
    <w:qFormat/>
    <w:rsid w:val="00104FE4"/>
    <w:pPr>
      <w:spacing w:line="240" w:lineRule="auto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64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97" Type="http://schemas.openxmlformats.org/officeDocument/2006/relationships/oleObject" Target="embeddings/oleObject47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4</cp:revision>
  <dcterms:created xsi:type="dcterms:W3CDTF">2012-01-30T18:33:00Z</dcterms:created>
  <dcterms:modified xsi:type="dcterms:W3CDTF">2012-02-06T19:41:00Z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Name 0_1">
    <vt:lpwstr>American Medical Association</vt:lpwstr>
  </property>
  <property fmtid="{D5CDD505-2E9C-101B-9397-08002B2CF9AE}" pid="3" name="Mendeley Recent Style Id 0_1">
    <vt:lpwstr>http://www.zotero.org/styles/ama</vt:lpwstr>
  </property>
  <property fmtid="{D5CDD505-2E9C-101B-9397-08002B2CF9AE}" pid="4" name="Mendeley Recent Style Name 1_1">
    <vt:lpwstr>American Political Science Association</vt:lpwstr>
  </property>
  <property fmtid="{D5CDD505-2E9C-101B-9397-08002B2CF9AE}" pid="5" name="Mendeley Recent Style Id 1_1">
    <vt:lpwstr>http://www.zotero.org/styles/apsa</vt:lpwstr>
  </property>
  <property fmtid="{D5CDD505-2E9C-101B-9397-08002B2CF9AE}" pid="6" name="Mendeley Recent Style Name 2_1">
    <vt:lpwstr>American Psychological Association 6th Edition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3_1">
    <vt:lpwstr>Chicago Manual of Style (Author-Date format)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4_1">
    <vt:lpwstr>Harvard Reference format 1 (Author-Date)</vt:lpwstr>
  </property>
  <property fmtid="{D5CDD505-2E9C-101B-9397-08002B2CF9AE}" pid="11" name="Mendeley Recent Style Id 4_1">
    <vt:lpwstr>http://www.zotero.org/styles/harvard1</vt:lpwstr>
  </property>
  <property fmtid="{D5CDD505-2E9C-101B-9397-08002B2CF9AE}" pid="12" name="Mendeley Recent Style Name 5_1">
    <vt:lpwstr>IEEE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6_1">
    <vt:lpwstr>Metallurgical and Materials Transactions</vt:lpwstr>
  </property>
  <property fmtid="{D5CDD505-2E9C-101B-9397-08002B2CF9AE}" pid="15" name="Mendeley Recent Style Id 6_1">
    <vt:lpwstr>http://www.zotero.org/styles/metallurgical-and-materials-transactions</vt:lpwstr>
  </property>
  <property fmtid="{D5CDD505-2E9C-101B-9397-08002B2CF9AE}" pid="16" name="Mendeley Recent Style Name 7_1">
    <vt:lpwstr>Modern Humanities Research Association (Note with Bibliography)</vt:lpwstr>
  </property>
  <property fmtid="{D5CDD505-2E9C-101B-9397-08002B2CF9AE}" pid="17" name="Mendeley Recent Style Id 7_1">
    <vt:lpwstr>http://www.zotero.org/styles/mhra</vt:lpwstr>
  </property>
  <property fmtid="{D5CDD505-2E9C-101B-9397-08002B2CF9AE}" pid="18" name="Mendeley Recent Style Name 8_1">
    <vt:lpwstr>Modern Language Association</vt:lpwstr>
  </property>
  <property fmtid="{D5CDD505-2E9C-101B-9397-08002B2CF9AE}" pid="19" name="Mendeley Recent Style Id 8_1">
    <vt:lpwstr>http://www.zotero.org/styles/mla</vt:lpwstr>
  </property>
  <property fmtid="{D5CDD505-2E9C-101B-9397-08002B2CF9AE}" pid="20" name="Mendeley Recent Style Name 9_1">
    <vt:lpwstr>Nature Journal</vt:lpwstr>
  </property>
  <property fmtid="{D5CDD505-2E9C-101B-9397-08002B2CF9AE}" pid="21" name="Mendeley Recent Style Id 9_1">
    <vt:lpwstr>http://www.zotero.org/styles/nature</vt:lpwstr>
  </property>
</Properties>
</file>