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E60EED">
      <w:pPr>
        <w:pStyle w:val="Heading1"/>
      </w:pPr>
      <w:r>
        <w:t>[TITRE DE LA PUBLICATION]</w:t>
      </w:r>
    </w:p>
    <w:p w14:paraId="45DAC8D0" w14:textId="57CDB202" w:rsidR="0092747E" w:rsidRDefault="0024465B" w:rsidP="00CB3030">
      <w:pPr>
        <w:pStyle w:val="BodyText"/>
        <w:rPr>
          <w:color w:val="4F81BD" w:themeColor="accent1"/>
        </w:rPr>
      </w:pPr>
      <w:r>
        <w:rPr>
          <w:color w:val="4F80BD"/>
        </w:rPr>
        <w:t xml:space="preserve">[Obligatoire. Le titre doit inclure le nom du stock évalué : </w:t>
      </w:r>
      <w:r w:rsidR="00D6294C" w:rsidRPr="00D6294C">
        <w:rPr>
          <w:color w:val="4F80BD"/>
        </w:rPr>
        <w:t xml:space="preserve">Évaluation du stock ou mise à jour de l’état du stock de </w:t>
      </w:r>
      <w:r w:rsidR="00D6294C">
        <w:rPr>
          <w:color w:val="4F80BD"/>
        </w:rPr>
        <w:t>[</w:t>
      </w:r>
      <w:r w:rsidR="00D6294C" w:rsidRPr="00D6294C">
        <w:rPr>
          <w:color w:val="4F80BD"/>
        </w:rPr>
        <w:t>l’espèce</w:t>
      </w:r>
      <w:r w:rsidR="00D6294C">
        <w:rPr>
          <w:color w:val="4F80BD"/>
        </w:rPr>
        <w:t>]</w:t>
      </w:r>
      <w:r w:rsidR="00D6294C" w:rsidRPr="00D6294C">
        <w:rPr>
          <w:color w:val="4F80BD"/>
        </w:rPr>
        <w:t xml:space="preserve"> (</w:t>
      </w:r>
      <w:r w:rsidR="00D6294C" w:rsidRPr="00DC129A">
        <w:rPr>
          <w:i/>
          <w:iCs/>
          <w:color w:val="4F80BD"/>
        </w:rPr>
        <w:t>traitement taxonomique officiel</w:t>
      </w:r>
      <w:r w:rsidR="00D6294C" w:rsidRPr="00D6294C">
        <w:rPr>
          <w:color w:val="4F80BD"/>
        </w:rPr>
        <w:t xml:space="preserve">) dans </w:t>
      </w:r>
      <w:r w:rsidR="00D6294C">
        <w:rPr>
          <w:color w:val="4F80BD"/>
        </w:rPr>
        <w:t>la [</w:t>
      </w:r>
      <w:r w:rsidR="00D6294C" w:rsidRPr="00D6294C">
        <w:rPr>
          <w:color w:val="4F80BD"/>
        </w:rPr>
        <w:t>zone du stock</w:t>
      </w:r>
      <w:r w:rsidR="00D6294C">
        <w:rPr>
          <w:color w:val="4F80BD"/>
        </w:rPr>
        <w:t>]</w:t>
      </w:r>
      <w:r w:rsidR="00D6294C" w:rsidRPr="00D6294C">
        <w:rPr>
          <w:color w:val="4F80BD"/>
        </w:rPr>
        <w:t xml:space="preserve"> en </w:t>
      </w:r>
      <w:r w:rsidR="00D6294C">
        <w:rPr>
          <w:color w:val="4F80BD"/>
        </w:rPr>
        <w:t>[</w:t>
      </w:r>
      <w:r w:rsidR="00D6294C" w:rsidRPr="00D6294C">
        <w:rPr>
          <w:color w:val="4F80BD"/>
        </w:rPr>
        <w:t>année d’évaluation</w:t>
      </w:r>
      <w:r w:rsidR="00D6294C">
        <w:rPr>
          <w:color w:val="4F80BD"/>
        </w:rPr>
        <w:t>]</w:t>
      </w:r>
      <w:r>
        <w:rPr>
          <w:color w:val="4F80BD"/>
        </w:rPr>
        <w:t>. L’année d’évaluation est normalement la dernière année des données utilisées dans l’évaluation.]</w:t>
      </w:r>
    </w:p>
    <w:p w14:paraId="0D0FF4F4" w14:textId="4CED6C12" w:rsidR="00596EBD" w:rsidRDefault="00596EBD" w:rsidP="00E60EED">
      <w:pPr>
        <w:pStyle w:val="Heading2"/>
      </w:pPr>
      <w:r>
        <w:t>CONTEXTE</w:t>
      </w:r>
    </w:p>
    <w:p w14:paraId="4EC6649D" w14:textId="4ED1E5D4" w:rsidR="00596EBD" w:rsidRPr="008A5E82" w:rsidRDefault="00596EBD" w:rsidP="00F8199F">
      <w:pPr>
        <w:pStyle w:val="BodyText"/>
        <w:rPr>
          <w:color w:val="4F81BD" w:themeColor="accent1"/>
        </w:rPr>
      </w:pPr>
      <w:r>
        <w:rPr>
          <w:color w:val="4F81BD" w:themeColor="accent1"/>
        </w:rPr>
        <w:t>[Obligatoire. Maximum de 150 mots. Inclu</w:t>
      </w:r>
      <w:r w:rsidR="00D6294C">
        <w:rPr>
          <w:color w:val="4F81BD" w:themeColor="accent1"/>
        </w:rPr>
        <w:t>re</w:t>
      </w:r>
      <w:r>
        <w:rPr>
          <w:color w:val="4F81BD" w:themeColor="accent1"/>
        </w:rPr>
        <w:t xml:space="preserve"> seulement les renseignements sur la demande d’avis, notamment les objectifs de la réunion et la date de la réunion d’examen par les pairs.] [Ajoutez le lien vers le PGIP, le plan de rétablissement ou le plan de gestion.]</w:t>
      </w:r>
    </w:p>
    <w:p w14:paraId="49533E60" w14:textId="7B9F8207" w:rsidR="001E6C69" w:rsidRPr="001E6C69" w:rsidRDefault="001E6C69" w:rsidP="001E6C69">
      <w:pPr>
        <w:spacing w:before="120" w:after="120"/>
        <w:rPr>
          <w:lang w:val="fr-FR"/>
        </w:rPr>
      </w:pPr>
      <w:r w:rsidRPr="005C2350">
        <w:rPr>
          <w:rStyle w:val="BodyTextChar"/>
        </w:rPr>
        <w:t>L</w:t>
      </w:r>
      <w:r w:rsidR="00D15D45" w:rsidRPr="005C2350">
        <w:rPr>
          <w:rStyle w:val="BodyTextChar"/>
        </w:rPr>
        <w:t>e</w:t>
      </w:r>
      <w:r w:rsidRPr="005C2350">
        <w:rPr>
          <w:rStyle w:val="BodyTextChar"/>
        </w:rPr>
        <w:t xml:space="preserve"> présent avis scientifique découle de l’examen par les pairs </w:t>
      </w:r>
      <w:r w:rsidRPr="005C2350">
        <w:rPr>
          <w:rStyle w:val="BodyTextChar"/>
          <w:color w:val="4F81BD" w:themeColor="accent1"/>
        </w:rPr>
        <w:t>[régional, national, zonal] du [date] sur [le titre de la réunion-- la date et le titre de la réunion doivent apparaître exactement de la même façon qu’ils sont indiqués dans le calendrier des avis scientifiques de Pêches et Océans Canada].</w:t>
      </w:r>
      <w:r w:rsidRPr="005C2350">
        <w:rPr>
          <w:rStyle w:val="BodyTextChar"/>
        </w:rPr>
        <w:t xml:space="preserve"> Toute autre publication découlant de cette réunion sera publiée, lorsqu’elle sera disponible, sur le</w:t>
      </w:r>
      <w:r w:rsidRPr="001E6C69">
        <w:rPr>
          <w:lang w:val="fr-FR"/>
        </w:rPr>
        <w:t xml:space="preserve"> </w:t>
      </w:r>
      <w:hyperlink r:id="rId11" w:history="1">
        <w:r w:rsidRPr="005C2350">
          <w:rPr>
            <w:rStyle w:val="Hyperlink"/>
            <w:rFonts w:eastAsiaTheme="minorHAnsi"/>
          </w:rPr>
          <w:t>calendrier des avis scientifiques du Pêches et Océans Canada (MPO)</w:t>
        </w:r>
      </w:hyperlink>
      <w:r w:rsidRPr="005C2350">
        <w:rPr>
          <w:rStyle w:val="Hyperlink"/>
        </w:rPr>
        <w:t>.</w:t>
      </w:r>
      <w:r w:rsidRPr="001E6C69">
        <w:rPr>
          <w:lang w:val="fr-FR"/>
        </w:rPr>
        <w:t xml:space="preserve"> </w:t>
      </w:r>
    </w:p>
    <w:p w14:paraId="09F44DDE" w14:textId="400E2BBA" w:rsidR="00596EBD" w:rsidRPr="00F8199F" w:rsidRDefault="00596EBD" w:rsidP="00596EBD">
      <w:pPr>
        <w:pStyle w:val="BodyText"/>
      </w:pPr>
      <w:r>
        <w:rPr>
          <w:color w:val="4F81BD" w:themeColor="accent1"/>
        </w:rPr>
        <w:t xml:space="preserve">[Consultez le document d’orientation pour obtenir des exemples de renseignements supplémentaires à </w:t>
      </w:r>
      <w:r w:rsidR="00D6294C">
        <w:rPr>
          <w:color w:val="4F81BD" w:themeColor="accent1"/>
        </w:rPr>
        <w:t xml:space="preserve">inclure </w:t>
      </w:r>
      <w:r>
        <w:rPr>
          <w:color w:val="4F81BD" w:themeColor="accent1"/>
        </w:rPr>
        <w:t>dans la section Contexte.]</w:t>
      </w:r>
    </w:p>
    <w:p w14:paraId="1D57DEB7" w14:textId="4380AEAA" w:rsidR="00CB1CF9" w:rsidRPr="00543275" w:rsidRDefault="00FC2F23" w:rsidP="00E60EED">
      <w:pPr>
        <w:pStyle w:val="Heading2"/>
      </w:pPr>
      <w:r>
        <w:t>AVIS SCIENTIFIQUE</w:t>
      </w:r>
    </w:p>
    <w:p w14:paraId="4F07D398" w14:textId="2E6B9E4B" w:rsidR="00CB1CF9" w:rsidRDefault="0024465B" w:rsidP="0092747E">
      <w:pPr>
        <w:pStyle w:val="BodyText"/>
      </w:pPr>
      <w:r>
        <w:rPr>
          <w:color w:val="4F81BD" w:themeColor="accent1"/>
        </w:rPr>
        <w:t xml:space="preserve">[Obligatoire. Maximum de 500 mots. Cette section est destinée aux points sommaires représentant les principales conclusions scientifiques de la réunion, en mettant l’accent sur celles qui sont les plus pertinentes pour la prise de décisions. Chaque point sommaire doit refléter l’information présentée dans le corps du rapport. Veuillez consulter les instructions et les exemples donnés dans le document d’orientation.] </w:t>
      </w:r>
    </w:p>
    <w:p w14:paraId="19E4B0BE" w14:textId="2C54DEDD" w:rsidR="00630FFA" w:rsidRPr="00E053C8" w:rsidRDefault="00630FFA" w:rsidP="008519CA">
      <w:pPr>
        <w:pStyle w:val="Heading3"/>
      </w:pPr>
      <w:bookmarkStart w:id="0" w:name="_Hlk124854605"/>
      <w:r>
        <w:t>État du stock</w:t>
      </w:r>
    </w:p>
    <w:p w14:paraId="5931C397" w14:textId="083C8F35" w:rsidR="006A108C" w:rsidRPr="006A108C" w:rsidRDefault="0024465B" w:rsidP="00A877F2">
      <w:pPr>
        <w:pStyle w:val="ListBullet"/>
        <w:rPr>
          <w:b/>
          <w:bCs/>
        </w:rPr>
      </w:pPr>
      <w:r>
        <w:rPr>
          <w:color w:val="4F81BD" w:themeColor="accent1"/>
        </w:rPr>
        <w:t xml:space="preserve">[Point(s) sommaire(s) obligatoire(s)] </w:t>
      </w:r>
    </w:p>
    <w:p w14:paraId="1905D812" w14:textId="0A221950" w:rsidR="009110C1" w:rsidRPr="006A108C" w:rsidRDefault="009110C1" w:rsidP="008519CA">
      <w:pPr>
        <w:pStyle w:val="Heading3"/>
      </w:pPr>
      <w:r>
        <w:t>Tendances du stock</w:t>
      </w:r>
    </w:p>
    <w:p w14:paraId="7D8EC711" w14:textId="77777777" w:rsidR="006A108C" w:rsidRPr="006A108C" w:rsidRDefault="006A108C" w:rsidP="006A108C">
      <w:pPr>
        <w:pStyle w:val="ListBullet"/>
        <w:rPr>
          <w:b/>
          <w:bCs/>
        </w:rPr>
      </w:pPr>
      <w:r>
        <w:rPr>
          <w:color w:val="4F81BD" w:themeColor="accent1"/>
        </w:rPr>
        <w:t xml:space="preserve">[Point(s) sommaire(s) obligatoire(s)] </w:t>
      </w:r>
    </w:p>
    <w:p w14:paraId="6192C865" w14:textId="4DE3AD7E" w:rsidR="00BE19C1" w:rsidRPr="00E053C8" w:rsidRDefault="00BE19C1" w:rsidP="008519CA">
      <w:pPr>
        <w:pStyle w:val="Heading3"/>
      </w:pPr>
      <w:r>
        <w:t>Considérations liées à l’écosystème et au</w:t>
      </w:r>
      <w:r w:rsidR="00F8272B">
        <w:t>x</w:t>
      </w:r>
      <w:r>
        <w:t xml:space="preserve"> changement</w:t>
      </w:r>
      <w:r w:rsidR="00F8272B">
        <w:t>s</w:t>
      </w:r>
      <w:r>
        <w:t xml:space="preserve"> climatique</w:t>
      </w:r>
      <w:r w:rsidR="00F8272B">
        <w:t>s</w:t>
      </w:r>
    </w:p>
    <w:p w14:paraId="4EC9433E" w14:textId="6805362C" w:rsidR="006A108C" w:rsidRPr="006A108C" w:rsidRDefault="006A108C" w:rsidP="006A108C">
      <w:pPr>
        <w:pStyle w:val="ListBullet"/>
        <w:rPr>
          <w:b/>
          <w:bCs/>
        </w:rPr>
      </w:pPr>
      <w:r>
        <w:rPr>
          <w:color w:val="4F81BD" w:themeColor="accent1"/>
        </w:rPr>
        <w:t xml:space="preserve">[Point(s) sommaire(s) obligatoire(s), section facultative pour la RSP] </w:t>
      </w:r>
    </w:p>
    <w:p w14:paraId="3FCEC740" w14:textId="3A6A4A5F" w:rsidR="001E6250" w:rsidRPr="00E053C8" w:rsidRDefault="009110C1" w:rsidP="008519CA">
      <w:pPr>
        <w:pStyle w:val="Heading3"/>
      </w:pPr>
      <w:r>
        <w:lastRenderedPageBreak/>
        <w:t>Avis sur le stock</w:t>
      </w:r>
    </w:p>
    <w:bookmarkEnd w:id="0"/>
    <w:p w14:paraId="4A11930E" w14:textId="77777777" w:rsidR="00DF7928" w:rsidRPr="006A108C" w:rsidRDefault="00DF7928" w:rsidP="00DF7928">
      <w:pPr>
        <w:pStyle w:val="ListBullet"/>
        <w:rPr>
          <w:b/>
          <w:bCs/>
        </w:rPr>
      </w:pPr>
      <w:r>
        <w:rPr>
          <w:color w:val="4F81BD" w:themeColor="accent1"/>
        </w:rPr>
        <w:t xml:space="preserve">[Point(s) sommaire(s) obligatoire(s)] </w:t>
      </w:r>
    </w:p>
    <w:p w14:paraId="06E3771B" w14:textId="6354EA25" w:rsidR="009110C1" w:rsidRDefault="009110C1" w:rsidP="008519CA">
      <w:pPr>
        <w:pStyle w:val="Heading3"/>
      </w:pPr>
      <w:r w:rsidRPr="00DC129A">
        <w:t>Autres questions de gestion [le cas échéant, ne pas inclure sinon]</w:t>
      </w:r>
    </w:p>
    <w:p w14:paraId="29904DB3" w14:textId="77777777" w:rsidR="005C2350" w:rsidRPr="005C2350" w:rsidRDefault="005C2350" w:rsidP="005C2350">
      <w:pPr>
        <w:pStyle w:val="ListBullet"/>
        <w:rPr>
          <w:color w:val="4F81BD" w:themeColor="accent1"/>
        </w:rPr>
      </w:pPr>
      <w:bookmarkStart w:id="1" w:name="_Hlk150250599"/>
      <w:r w:rsidRPr="005C2350">
        <w:rPr>
          <w:color w:val="4F81BD" w:themeColor="accent1"/>
        </w:rPr>
        <w:t>[Autres points sommaires le cas échéant]</w:t>
      </w:r>
    </w:p>
    <w:bookmarkEnd w:id="1"/>
    <w:p w14:paraId="4696CFDB" w14:textId="51D09FFD" w:rsidR="006012C6" w:rsidRPr="001E4A20" w:rsidRDefault="001E4A20" w:rsidP="00E60EED">
      <w:pPr>
        <w:pStyle w:val="Heading2"/>
      </w:pPr>
      <w:r>
        <w:t>FONDEMENT DE L’ÉVALUATION</w:t>
      </w:r>
    </w:p>
    <w:p w14:paraId="19485314" w14:textId="6AB6CA77" w:rsidR="0024465B" w:rsidRPr="0024465B" w:rsidRDefault="0024465B" w:rsidP="008519CA">
      <w:pPr>
        <w:pStyle w:val="Heading3"/>
      </w:pPr>
      <w:r>
        <w:t>Détails de l’évaluation</w:t>
      </w:r>
    </w:p>
    <w:p w14:paraId="46630FFF" w14:textId="7372B8AF" w:rsidR="00DF7928" w:rsidRDefault="00DF7928" w:rsidP="00543275">
      <w:pPr>
        <w:pStyle w:val="BodyText"/>
        <w:rPr>
          <w:color w:val="4F81BD" w:themeColor="accent1"/>
        </w:rPr>
      </w:pPr>
      <w:r>
        <w:rPr>
          <w:color w:val="4F81BD" w:themeColor="accent1"/>
        </w:rPr>
        <w:t>[Obligatoire]</w:t>
      </w:r>
    </w:p>
    <w:p w14:paraId="3E3B7AE8" w14:textId="5BF4CA13" w:rsidR="0024465B" w:rsidRDefault="00F64A07" w:rsidP="008519CA">
      <w:pPr>
        <w:pStyle w:val="Heading4"/>
      </w:pPr>
      <w:r>
        <w:t>Année d'approbation de l'approche d'évaluation</w:t>
      </w:r>
      <w:r w:rsidR="00545297">
        <w:t xml:space="preserve"> </w:t>
      </w:r>
    </w:p>
    <w:p w14:paraId="60F239F3" w14:textId="47726193" w:rsidR="00545297" w:rsidRDefault="00A57E5E" w:rsidP="001E4A20">
      <w:pPr>
        <w:pStyle w:val="BodyText"/>
      </w:pPr>
      <w:r>
        <w:rPr>
          <w:color w:val="4F81BD" w:themeColor="accent1"/>
        </w:rPr>
        <w:t>[Obligatoire; année et référence]</w:t>
      </w:r>
    </w:p>
    <w:p w14:paraId="2D078EBC" w14:textId="563F430F" w:rsidR="0024465B" w:rsidRDefault="00262FE7" w:rsidP="008519CA">
      <w:pPr>
        <w:pStyle w:val="Heading4"/>
      </w:pPr>
      <w:r>
        <w:t xml:space="preserve">Type d’évaluation </w:t>
      </w:r>
    </w:p>
    <w:p w14:paraId="0BCEA4C9" w14:textId="3CA3F9FB" w:rsidR="00262FE7" w:rsidRPr="00801E71" w:rsidRDefault="00A57E5E" w:rsidP="00FC2F23">
      <w:pPr>
        <w:pStyle w:val="BodyText"/>
        <w:rPr>
          <w:color w:val="4F81BD" w:themeColor="accent1"/>
        </w:rPr>
      </w:pPr>
      <w:bookmarkStart w:id="2" w:name="_Hlk150251490"/>
      <w:r>
        <w:rPr>
          <w:color w:val="4F81BD" w:themeColor="accent1"/>
        </w:rPr>
        <w:t xml:space="preserve">[Obligatoire; </w:t>
      </w:r>
      <w:bookmarkStart w:id="3" w:name="_Hlk150251536"/>
      <w:r>
        <w:rPr>
          <w:color w:val="4F81BD" w:themeColor="accent1"/>
        </w:rPr>
        <w:t xml:space="preserve">sélectionnez l’une des options suivantes : Évaluation complète, Mise à jour de l’année intermédiaire. </w:t>
      </w:r>
      <w:bookmarkEnd w:id="3"/>
      <w:r>
        <w:rPr>
          <w:color w:val="4F81BD" w:themeColor="accent1"/>
        </w:rPr>
        <w:t>Consultez les définitions d</w:t>
      </w:r>
      <w:r w:rsidR="00C15DC8">
        <w:rPr>
          <w:color w:val="4F81BD" w:themeColor="accent1"/>
        </w:rPr>
        <w:t>ans le</w:t>
      </w:r>
      <w:r>
        <w:rPr>
          <w:color w:val="4F81BD" w:themeColor="accent1"/>
        </w:rPr>
        <w:t xml:space="preserve"> document d’orientation.] </w:t>
      </w:r>
    </w:p>
    <w:bookmarkEnd w:id="2"/>
    <w:p w14:paraId="77847A54" w14:textId="497D5313" w:rsidR="00545297" w:rsidRPr="00E053C8" w:rsidRDefault="00262FE7" w:rsidP="008519CA">
      <w:pPr>
        <w:pStyle w:val="Heading4"/>
      </w:pPr>
      <w:r>
        <w:t>Date de l’évaluation la plus récente</w:t>
      </w:r>
    </w:p>
    <w:p w14:paraId="2007F772" w14:textId="683B5AEF" w:rsidR="00545297" w:rsidRPr="00801E71" w:rsidRDefault="00545297" w:rsidP="002E6CB9">
      <w:pPr>
        <w:pStyle w:val="ListNumber"/>
        <w:rPr>
          <w:color w:val="4F81BD" w:themeColor="accent1"/>
        </w:rPr>
      </w:pPr>
      <w:r>
        <w:t xml:space="preserve">Dernière évaluation complète : </w:t>
      </w:r>
      <w:r>
        <w:rPr>
          <w:color w:val="4F81BD" w:themeColor="accent1"/>
        </w:rPr>
        <w:t>[date et référence]</w:t>
      </w:r>
    </w:p>
    <w:p w14:paraId="777313A9" w14:textId="06233027" w:rsidR="00157E16" w:rsidRPr="001E4A20" w:rsidRDefault="00545297" w:rsidP="002E6CB9">
      <w:pPr>
        <w:pStyle w:val="ListNumber"/>
      </w:pPr>
      <w:r>
        <w:t xml:space="preserve">Dernière mise à jour de l’année intermédiaire : </w:t>
      </w:r>
      <w:r>
        <w:rPr>
          <w:color w:val="4F81BD" w:themeColor="accent1"/>
        </w:rPr>
        <w:t>[date et référence]</w:t>
      </w:r>
    </w:p>
    <w:p w14:paraId="35674CC7" w14:textId="07334A9D" w:rsidR="00545297" w:rsidRPr="00FC2F23" w:rsidRDefault="007B237E" w:rsidP="008519CA">
      <w:pPr>
        <w:pStyle w:val="Heading4"/>
      </w:pPr>
      <w:r>
        <w:t>Approche d’évaluation du stock</w:t>
      </w:r>
    </w:p>
    <w:p w14:paraId="348BECB0" w14:textId="0EFB0A2F" w:rsidR="00630FFA" w:rsidRPr="00FC2F23" w:rsidRDefault="00AC13C6" w:rsidP="60B654A6">
      <w:pPr>
        <w:pStyle w:val="ListNumber"/>
        <w:numPr>
          <w:ilvl w:val="0"/>
          <w:numId w:val="5"/>
        </w:numPr>
        <w:rPr>
          <w:rStyle w:val="BodyTextChar"/>
          <w:rFonts w:eastAsiaTheme="minorEastAsia"/>
          <w:b/>
        </w:rPr>
      </w:pPr>
      <w:r>
        <w:t xml:space="preserve">Catégorie générale : </w:t>
      </w:r>
      <w:r>
        <w:rPr>
          <w:color w:val="4F81BD" w:themeColor="accent1"/>
        </w:rPr>
        <w:t xml:space="preserve">[Sélectionnez l’une des options suivantes : </w:t>
      </w:r>
      <w:bookmarkStart w:id="4" w:name="_Hlk150251732"/>
      <w:r>
        <w:rPr>
          <w:rStyle w:val="BodyTextChar"/>
          <w:color w:val="4F81BD" w:themeColor="accent1"/>
        </w:rPr>
        <w:t>pauvre en données (p. ex. prises-RMD, données très limitées), fondée sur un indice (tendances dans les indices empiriques seulement), modèle d’évaluation d’un stock unique, ensemble de modèles, ESG (complète ou allégée), évaluation intégrée selon la Politique concernant le saumon sauvage, approches multiples, autre (précisez).]</w:t>
      </w:r>
    </w:p>
    <w:bookmarkEnd w:id="4"/>
    <w:p w14:paraId="594CCC4C" w14:textId="06E0354E" w:rsidR="00630FFA" w:rsidRDefault="00AC13C6" w:rsidP="00FC2F23">
      <w:pPr>
        <w:pStyle w:val="ListNumber"/>
      </w:pPr>
      <w:r>
        <w:t xml:space="preserve">Catégorie </w:t>
      </w:r>
      <w:r w:rsidR="004B3B99">
        <w:t>spécifique</w:t>
      </w:r>
      <w:r>
        <w:t xml:space="preserve"> : </w:t>
      </w:r>
      <w:r>
        <w:rPr>
          <w:color w:val="4F81BD" w:themeColor="accent1"/>
        </w:rPr>
        <w:t>[</w:t>
      </w:r>
      <w:r w:rsidR="003444C9">
        <w:t>Sélectionnez une ou plusieurs options</w:t>
      </w:r>
      <w:r>
        <w:rPr>
          <w:color w:val="4F81BD" w:themeColor="accent1"/>
        </w:rPr>
        <w:t xml:space="preserve"> : aucune donnée, fondée sur des indices (indices dépendants de la pêche seulement), fondée sur des indices (y compris les indices dépendants de la pêche et les indices indépendants de la pêche), </w:t>
      </w:r>
      <w:r w:rsidR="007D0F75">
        <w:rPr>
          <w:color w:val="4F81BD" w:themeColor="accent1"/>
        </w:rPr>
        <w:t xml:space="preserve">modèle de </w:t>
      </w:r>
      <w:r w:rsidR="007D0F75" w:rsidRPr="007D0F75">
        <w:rPr>
          <w:color w:val="4F81BD" w:themeColor="accent1"/>
        </w:rPr>
        <w:t>différence des décalages</w:t>
      </w:r>
      <w:r>
        <w:rPr>
          <w:color w:val="4F81BD" w:themeColor="accent1"/>
        </w:rPr>
        <w:t xml:space="preserve">, dynamique de la biomasse, analyse de population virtuelle, modèle statistique des prises selon la longueur, modèle statistique des prises selon l’âge, </w:t>
      </w:r>
      <w:r w:rsidR="007D0F75">
        <w:rPr>
          <w:color w:val="4F81BD" w:themeColor="accent1"/>
        </w:rPr>
        <w:t>modèle d’</w:t>
      </w:r>
      <w:r w:rsidRPr="007D0F75">
        <w:rPr>
          <w:color w:val="4F81BD" w:themeColor="accent1"/>
        </w:rPr>
        <w:t>espace</w:t>
      </w:r>
      <w:r w:rsidR="007D0F75">
        <w:rPr>
          <w:color w:val="4F81BD" w:themeColor="accent1"/>
        </w:rPr>
        <w:t>-</w:t>
      </w:r>
      <w:r w:rsidRPr="007D0F75">
        <w:rPr>
          <w:color w:val="4F81BD" w:themeColor="accent1"/>
        </w:rPr>
        <w:t>état</w:t>
      </w:r>
      <w:r>
        <w:rPr>
          <w:color w:val="4F81BD" w:themeColor="accent1"/>
        </w:rPr>
        <w:t>, analyse séquentielle de population, production excédentaire, relation stock-recrutement, prélèvement biologique potentiel, autre (veuillez expliquer).]</w:t>
      </w:r>
    </w:p>
    <w:p w14:paraId="50E9E325" w14:textId="3B40FD1E" w:rsidR="00093407" w:rsidRPr="001E6C69" w:rsidRDefault="00B11413" w:rsidP="001E6C69">
      <w:pPr>
        <w:pStyle w:val="BodyText"/>
        <w:rPr>
          <w:color w:val="548DD4" w:themeColor="text2" w:themeTint="99"/>
        </w:rPr>
      </w:pPr>
      <w:bookmarkStart w:id="5" w:name="_Hlk150252923"/>
      <w:r w:rsidRPr="001E6C69">
        <w:rPr>
          <w:color w:val="548DD4" w:themeColor="text2" w:themeTint="99"/>
        </w:rPr>
        <w:t xml:space="preserve">[Sommaire facultatif en langage clair de la méthodologie d’évaluation du stock. </w:t>
      </w:r>
      <w:bookmarkStart w:id="6" w:name="_Hlk153311346"/>
      <w:r w:rsidRPr="001E6C69">
        <w:rPr>
          <w:color w:val="548DD4" w:themeColor="text2" w:themeTint="99"/>
        </w:rPr>
        <w:t xml:space="preserve">Ajoutez une référence à un document de recherche ou à une autre publication, </w:t>
      </w:r>
      <w:r w:rsidR="006701A3" w:rsidRPr="001E6C69">
        <w:rPr>
          <w:color w:val="548DD4" w:themeColor="text2" w:themeTint="99"/>
        </w:rPr>
        <w:t>et/</w:t>
      </w:r>
      <w:r w:rsidRPr="001E6C69">
        <w:rPr>
          <w:color w:val="548DD4" w:themeColor="text2" w:themeTint="99"/>
        </w:rPr>
        <w:t xml:space="preserve">ou une note de bas de page au document de travail. </w:t>
      </w:r>
      <w:bookmarkEnd w:id="6"/>
      <w:r w:rsidRPr="001E6C69">
        <w:rPr>
          <w:color w:val="548DD4" w:themeColor="text2" w:themeTint="99"/>
        </w:rPr>
        <w:t>Moins de 100 mots.</w:t>
      </w:r>
      <w:bookmarkEnd w:id="5"/>
      <w:r w:rsidRPr="001E6C69">
        <w:rPr>
          <w:color w:val="548DD4" w:themeColor="text2" w:themeTint="99"/>
        </w:rPr>
        <w:t>]</w:t>
      </w:r>
    </w:p>
    <w:p w14:paraId="6C240E49" w14:textId="48629789" w:rsidR="007B237E" w:rsidRDefault="007B237E" w:rsidP="008519CA">
      <w:pPr>
        <w:pStyle w:val="Heading4"/>
      </w:pPr>
      <w:r>
        <w:t xml:space="preserve">Approche d’évaluation de </w:t>
      </w:r>
      <w:r w:rsidR="00F8272B">
        <w:t>l’</w:t>
      </w:r>
      <w:r>
        <w:t>écosystème et d</w:t>
      </w:r>
      <w:r w:rsidR="00F8272B">
        <w:t>es</w:t>
      </w:r>
      <w:r>
        <w:t xml:space="preserve"> changement</w:t>
      </w:r>
      <w:r w:rsidR="00F8272B">
        <w:t>s</w:t>
      </w:r>
      <w:r>
        <w:t xml:space="preserve"> climatique</w:t>
      </w:r>
      <w:r w:rsidR="00F8272B">
        <w:t>s</w:t>
      </w:r>
    </w:p>
    <w:p w14:paraId="3E44E634" w14:textId="6D41397B" w:rsidR="007B237E" w:rsidRDefault="007B237E" w:rsidP="007B237E">
      <w:pPr>
        <w:pStyle w:val="BodyText"/>
      </w:pPr>
      <w:r>
        <w:rPr>
          <w:color w:val="4F81BD" w:themeColor="accent1"/>
        </w:rPr>
        <w:t xml:space="preserve">[Sommaire facultatif en langage clair de la méthodologie utilisée </w:t>
      </w:r>
      <w:r w:rsidRPr="006701A3">
        <w:rPr>
          <w:color w:val="4F81BD" w:themeColor="accent1"/>
        </w:rPr>
        <w:t xml:space="preserve">pour </w:t>
      </w:r>
      <w:r w:rsidR="007D0F75">
        <w:t>examiner/évaluer les variables écosystémiques dans l’avis</w:t>
      </w:r>
      <w:r>
        <w:rPr>
          <w:color w:val="4F81BD" w:themeColor="accent1"/>
        </w:rPr>
        <w:t>.</w:t>
      </w:r>
      <w:r w:rsidR="00F539E3">
        <w:rPr>
          <w:color w:val="4F81BD" w:themeColor="accent1"/>
        </w:rPr>
        <w:t xml:space="preserve"> </w:t>
      </w:r>
      <w:r>
        <w:rPr>
          <w:color w:val="4F81BD" w:themeColor="accent1"/>
        </w:rPr>
        <w:t xml:space="preserve">Ajoutez une référence à un document de recherche ou à une autre publication, </w:t>
      </w:r>
      <w:r w:rsidR="006701A3">
        <w:rPr>
          <w:color w:val="4F81BD" w:themeColor="accent1"/>
        </w:rPr>
        <w:t>et/</w:t>
      </w:r>
      <w:r>
        <w:rPr>
          <w:color w:val="4F81BD" w:themeColor="accent1"/>
        </w:rPr>
        <w:t>ou une note de bas de page au document de travail. Maximum de 100 mots.]</w:t>
      </w:r>
    </w:p>
    <w:p w14:paraId="74403114" w14:textId="34CA7E58" w:rsidR="007B237E" w:rsidRDefault="007B237E" w:rsidP="008519CA">
      <w:pPr>
        <w:pStyle w:val="Heading4"/>
      </w:pPr>
      <w:r>
        <w:t>Modèles opérationnels [</w:t>
      </w:r>
      <w:r w:rsidR="006701A3">
        <w:t>titre alternatif</w:t>
      </w:r>
      <w:r>
        <w:t> : Scénarios de mod</w:t>
      </w:r>
      <w:r w:rsidR="006701A3">
        <w:t>élisation</w:t>
      </w:r>
      <w:r>
        <w:t>]</w:t>
      </w:r>
    </w:p>
    <w:p w14:paraId="5DA7C473" w14:textId="69AC9321" w:rsidR="007B237E" w:rsidRDefault="007B237E" w:rsidP="3E9DD61D">
      <w:pPr>
        <w:pStyle w:val="BodyText"/>
        <w:rPr>
          <w:color w:val="4F80BD"/>
        </w:rPr>
      </w:pPr>
      <w:r>
        <w:rPr>
          <w:color w:val="4F80BD"/>
        </w:rPr>
        <w:t xml:space="preserve">[Facultatif. Descriptions </w:t>
      </w:r>
      <w:r w:rsidR="006701A3">
        <w:rPr>
          <w:color w:val="4F80BD"/>
        </w:rPr>
        <w:t>générales</w:t>
      </w:r>
      <w:r>
        <w:rPr>
          <w:color w:val="4F80BD"/>
        </w:rPr>
        <w:t xml:space="preserve"> (texte, tableau ou figures) qui indiquent aux décideurs les principales incertitudes et les scénarios représentés lorsque plusieurs modèles sont utilisés </w:t>
      </w:r>
      <w:r>
        <w:rPr>
          <w:color w:val="4F80BD"/>
        </w:rPr>
        <w:lastRenderedPageBreak/>
        <w:t xml:space="preserve">dans l’avis sur le stock. N’incluez pas les équations. Ajoutez une référence à un document de recherche ou à une autre publication, </w:t>
      </w:r>
      <w:r w:rsidR="006701A3">
        <w:rPr>
          <w:color w:val="4F80BD"/>
        </w:rPr>
        <w:t>et/</w:t>
      </w:r>
      <w:r>
        <w:rPr>
          <w:color w:val="4F80BD"/>
        </w:rPr>
        <w:t xml:space="preserve">ou une note de bas de page au document de travail.] </w:t>
      </w:r>
    </w:p>
    <w:p w14:paraId="291FA559" w14:textId="013DA011" w:rsidR="00545297" w:rsidRPr="00543275" w:rsidRDefault="464D64AA" w:rsidP="008519CA">
      <w:pPr>
        <w:pStyle w:val="Heading3"/>
        <w:rPr>
          <w:highlight w:val="yellow"/>
        </w:rPr>
      </w:pPr>
      <w:r>
        <w:t>Hypothèse relative à la structure du stock</w:t>
      </w:r>
    </w:p>
    <w:p w14:paraId="648A6BF0" w14:textId="562B9662" w:rsidR="00B11413" w:rsidRDefault="65F673F2" w:rsidP="00FC2F23">
      <w:pPr>
        <w:pStyle w:val="BodyText"/>
        <w:rPr>
          <w:rFonts w:cs="Arial"/>
          <w:color w:val="4F81BD" w:themeColor="accent1"/>
        </w:rPr>
      </w:pPr>
      <w:r>
        <w:rPr>
          <w:color w:val="4F80BD"/>
        </w:rPr>
        <w:t xml:space="preserve">[Obligatoire. Maximum de 150 mots. Résumez brièvement les hypothèses actuelles </w:t>
      </w:r>
      <w:r w:rsidR="006701A3">
        <w:rPr>
          <w:color w:val="4F80BD"/>
        </w:rPr>
        <w:t xml:space="preserve">concernant </w:t>
      </w:r>
      <w:r>
        <w:rPr>
          <w:color w:val="4F80BD"/>
        </w:rPr>
        <w:t xml:space="preserve">la structure et la répartition du stock afin de </w:t>
      </w:r>
      <w:r w:rsidR="006701A3">
        <w:rPr>
          <w:color w:val="4F80BD"/>
        </w:rPr>
        <w:t xml:space="preserve">fournir un </w:t>
      </w:r>
      <w:r>
        <w:rPr>
          <w:color w:val="4F80BD"/>
        </w:rPr>
        <w:t xml:space="preserve">contexte </w:t>
      </w:r>
      <w:r w:rsidR="006701A3">
        <w:rPr>
          <w:color w:val="4F80BD"/>
        </w:rPr>
        <w:t xml:space="preserve">permettant de </w:t>
      </w:r>
      <w:r>
        <w:rPr>
          <w:color w:val="4F80BD"/>
        </w:rPr>
        <w:t>comprendre l’échelle des points de référence, la gestion et l’évaluation.]</w:t>
      </w:r>
    </w:p>
    <w:p w14:paraId="5198E5A1" w14:textId="0A0C9632" w:rsidR="00545297" w:rsidRPr="00543275" w:rsidRDefault="00545297" w:rsidP="008519CA">
      <w:pPr>
        <w:pStyle w:val="Heading3"/>
      </w:pPr>
      <w:r>
        <w:t>Points de référence</w:t>
      </w:r>
    </w:p>
    <w:p w14:paraId="5D083599" w14:textId="66165DB3" w:rsidR="00B11413" w:rsidRPr="005C77D6" w:rsidRDefault="0002247C" w:rsidP="00B11413">
      <w:pPr>
        <w:pStyle w:val="BodyText"/>
      </w:pPr>
      <w:r>
        <w:rPr>
          <w:color w:val="4F81BD" w:themeColor="accent1"/>
        </w:rPr>
        <w:t>[Obligatoire. Vous pouvez remplacer les points sommaires par un tableau pour cette section. Consultez les autres instructions dans le document d’orientation.]</w:t>
      </w:r>
    </w:p>
    <w:p w14:paraId="7A936237" w14:textId="11DF10C4" w:rsidR="00545297" w:rsidRPr="00F46C3D" w:rsidRDefault="00545297" w:rsidP="001E6C69">
      <w:pPr>
        <w:pStyle w:val="ListBullet"/>
      </w:pPr>
      <w:r>
        <w:t xml:space="preserve">Point de référence limite (PRL) : </w:t>
      </w:r>
    </w:p>
    <w:p w14:paraId="032BD112" w14:textId="2E075D18" w:rsidR="00545297" w:rsidRPr="002B54D9" w:rsidRDefault="00545297" w:rsidP="001E6C69">
      <w:pPr>
        <w:pStyle w:val="ListBullet"/>
        <w:rPr>
          <w:i/>
          <w:iCs/>
        </w:rPr>
      </w:pPr>
      <w:r>
        <w:t>Point de référence supérieur</w:t>
      </w:r>
      <w:r w:rsidR="006701A3">
        <w:t xml:space="preserve"> du stock</w:t>
      </w:r>
      <w:r>
        <w:t xml:space="preserve"> (PRS) :</w:t>
      </w:r>
    </w:p>
    <w:p w14:paraId="43004108" w14:textId="73633A5D" w:rsidR="00545297" w:rsidRPr="00F46C3D" w:rsidRDefault="006701A3" w:rsidP="001E6C69">
      <w:pPr>
        <w:pStyle w:val="ListBullet"/>
      </w:pPr>
      <w:r>
        <w:t xml:space="preserve">Taux </w:t>
      </w:r>
      <w:r w:rsidR="00545297">
        <w:t>d’exploitation de référence (</w:t>
      </w:r>
      <w:r>
        <w:t>TER</w:t>
      </w:r>
      <w:r w:rsidR="00545297">
        <w:t xml:space="preserve">) : </w:t>
      </w:r>
    </w:p>
    <w:p w14:paraId="67DBC896" w14:textId="478D5C97" w:rsidR="0048268D" w:rsidRDefault="00545297" w:rsidP="001E6C69">
      <w:pPr>
        <w:pStyle w:val="ListBullet"/>
      </w:pPr>
      <w:r>
        <w:t xml:space="preserve">Point de référence cible (PRC) : </w:t>
      </w:r>
    </w:p>
    <w:p w14:paraId="56CE6FD8" w14:textId="30F69D09" w:rsidR="00A21622" w:rsidRDefault="7BB728C0" w:rsidP="008519CA">
      <w:pPr>
        <w:pStyle w:val="Heading4"/>
      </w:pPr>
      <w:bookmarkStart w:id="7" w:name="_Hlk150252237"/>
      <w:r>
        <w:t>Autres points de référence du stock</w:t>
      </w:r>
    </w:p>
    <w:p w14:paraId="21B0577C" w14:textId="63B2343D" w:rsidR="0048268D" w:rsidRPr="001E6C69" w:rsidRDefault="0002247C" w:rsidP="001E6C69">
      <w:pPr>
        <w:pStyle w:val="BodyText"/>
        <w:rPr>
          <w:color w:val="548DD4" w:themeColor="text2" w:themeTint="99"/>
        </w:rPr>
      </w:pPr>
      <w:r w:rsidRPr="001E6C69">
        <w:rPr>
          <w:color w:val="548DD4" w:themeColor="text2" w:themeTint="99"/>
        </w:rPr>
        <w:t>[Le cas échéant (ne pas inclure sinon). Vous pouvez remplacer les points sommaires par un tableau pour cette section.] (p. ex., écloserie, habitat, écosystème)</w:t>
      </w:r>
    </w:p>
    <w:bookmarkEnd w:id="7"/>
    <w:p w14:paraId="00E80BCF" w14:textId="10712A78" w:rsidR="00D24B40" w:rsidRDefault="00D24B40" w:rsidP="008519CA">
      <w:pPr>
        <w:pStyle w:val="Heading3"/>
      </w:pPr>
      <w:r>
        <w:t>Objectifs de gestion</w:t>
      </w:r>
    </w:p>
    <w:p w14:paraId="11830F4E" w14:textId="77777777" w:rsidR="005C2350" w:rsidRDefault="00D24B40" w:rsidP="005C2350">
      <w:pPr>
        <w:pStyle w:val="BodyText"/>
        <w:rPr>
          <w:color w:val="4F81BD" w:themeColor="accent1"/>
        </w:rPr>
      </w:pPr>
      <w:r>
        <w:rPr>
          <w:color w:val="4F81BD" w:themeColor="accent1"/>
        </w:rPr>
        <w:t>[Facultatif (s’il y a lieu et si fournis par les gestionnaires des pêches; ne pas inclure sinon). Décrivez les objectifs mesurables ou les paramètres de rendement pour l’avis fourni.]</w:t>
      </w:r>
      <w:r w:rsidR="005C2350">
        <w:rPr>
          <w:color w:val="4F81BD" w:themeColor="accent1"/>
        </w:rPr>
        <w:t xml:space="preserve"> </w:t>
      </w:r>
    </w:p>
    <w:p w14:paraId="1960032D" w14:textId="33D87165" w:rsidR="005C2350" w:rsidRPr="005C2350" w:rsidRDefault="005C2350" w:rsidP="005C2350">
      <w:pPr>
        <w:pStyle w:val="BodyText"/>
        <w:rPr>
          <w:color w:val="4F81BD" w:themeColor="accent1"/>
        </w:rPr>
      </w:pPr>
      <w:r w:rsidRPr="005C2350">
        <w:rPr>
          <w:color w:val="4F81BD" w:themeColor="accent1"/>
        </w:rPr>
        <w:t>Peut inclure la règle de décision pour les pêches (RDP), les plans de gestion, le plan d’amélioration, le plan de restauration de l’habitat.</w:t>
      </w:r>
    </w:p>
    <w:p w14:paraId="4DA1745D" w14:textId="68F19B16" w:rsidR="00545297" w:rsidRPr="00543275" w:rsidRDefault="00543275" w:rsidP="008519CA">
      <w:pPr>
        <w:pStyle w:val="Heading3"/>
      </w:pPr>
      <w:r>
        <w:t>Données</w:t>
      </w:r>
    </w:p>
    <w:p w14:paraId="300B50E4" w14:textId="78246D01" w:rsidR="00841025" w:rsidRDefault="003B74DC" w:rsidP="003B74DC">
      <w:pPr>
        <w:pStyle w:val="BodyText"/>
        <w:rPr>
          <w:color w:val="4F81BD" w:themeColor="accent1"/>
        </w:rPr>
      </w:pPr>
      <w:r>
        <w:rPr>
          <w:color w:val="4F81BD" w:themeColor="accent1"/>
        </w:rPr>
        <w:t>[Obligatoire.</w:t>
      </w:r>
      <w:bookmarkStart w:id="8" w:name="_Hlk124419929"/>
      <w:r>
        <w:rPr>
          <w:color w:val="4F81BD" w:themeColor="accent1"/>
        </w:rPr>
        <w:t xml:space="preserve"> Maximum de 200 mots. Résumez brièvement les principales données </w:t>
      </w:r>
      <w:r w:rsidR="006D26F3">
        <w:rPr>
          <w:color w:val="4F81BD" w:themeColor="accent1"/>
        </w:rPr>
        <w:t xml:space="preserve">utilisées </w:t>
      </w:r>
      <w:r>
        <w:rPr>
          <w:color w:val="4F81BD" w:themeColor="accent1"/>
        </w:rPr>
        <w:t xml:space="preserve">pour l’évaluation.] </w:t>
      </w:r>
    </w:p>
    <w:p w14:paraId="01618882" w14:textId="626D5D17" w:rsidR="003B74DC" w:rsidRPr="00801E71" w:rsidRDefault="003B74DC" w:rsidP="003B74DC">
      <w:pPr>
        <w:pStyle w:val="BodyText"/>
        <w:rPr>
          <w:color w:val="4F81BD" w:themeColor="accent1"/>
        </w:rPr>
      </w:pPr>
      <w:r>
        <w:t xml:space="preserve">Modifications des données : </w:t>
      </w:r>
      <w:r>
        <w:rPr>
          <w:color w:val="4F81BD" w:themeColor="accent1"/>
        </w:rPr>
        <w:t>[Facultatif (ne pas inclure sinon).]</w:t>
      </w:r>
    </w:p>
    <w:bookmarkEnd w:id="8"/>
    <w:p w14:paraId="4479DFB0" w14:textId="2B687736" w:rsidR="001E4A20" w:rsidRDefault="001E4A20" w:rsidP="00E60EED">
      <w:pPr>
        <w:pStyle w:val="Heading2"/>
      </w:pPr>
      <w:r>
        <w:t>ÉVALUATION</w:t>
      </w:r>
    </w:p>
    <w:p w14:paraId="68DB4F0F" w14:textId="50F96136" w:rsidR="00051C98" w:rsidRPr="001E6C69" w:rsidRDefault="00051C98" w:rsidP="001E6C69">
      <w:pPr>
        <w:pStyle w:val="BodyText"/>
        <w:rPr>
          <w:color w:val="548DD4" w:themeColor="text2" w:themeTint="99"/>
        </w:rPr>
      </w:pPr>
      <w:r w:rsidRPr="001E6C69">
        <w:rPr>
          <w:color w:val="548DD4" w:themeColor="text2" w:themeTint="99"/>
        </w:rPr>
        <w:t>[La figure standard, s’il y a lieu, vient en premier – exemple illustré ci-dessous. Toutes les figures et tous les tableaux doivent être</w:t>
      </w:r>
      <w:r w:rsidR="006D26F3" w:rsidRPr="001E6C69">
        <w:rPr>
          <w:color w:val="548DD4" w:themeColor="text2" w:themeTint="99"/>
        </w:rPr>
        <w:t xml:space="preserve"> référencés </w:t>
      </w:r>
      <w:r w:rsidRPr="001E6C69">
        <w:rPr>
          <w:color w:val="548DD4" w:themeColor="text2" w:themeTint="99"/>
        </w:rPr>
        <w:t xml:space="preserve">dans le texte. </w:t>
      </w:r>
      <w:r w:rsidR="006D26F3" w:rsidRPr="001E6C69">
        <w:rPr>
          <w:color w:val="548DD4" w:themeColor="text2" w:themeTint="99"/>
        </w:rPr>
        <w:t>Consultez le document d’orientation pour les exceptions, les options et les instructions supplémentaires</w:t>
      </w:r>
      <w:r w:rsidRPr="001E6C69">
        <w:rPr>
          <w:color w:val="548DD4" w:themeColor="text2" w:themeTint="99"/>
        </w:rPr>
        <w:t>.]</w:t>
      </w:r>
    </w:p>
    <w:p w14:paraId="5E1E29E9" w14:textId="638240A2" w:rsidR="00051C98" w:rsidRDefault="006C3841" w:rsidP="00051C98">
      <w:pPr>
        <w:keepNext/>
      </w:pPr>
      <w:r>
        <w:rPr>
          <w:noProof/>
        </w:rPr>
        <w:lastRenderedPageBreak/>
        <w:drawing>
          <wp:inline distT="0" distB="0" distL="0" distR="0" wp14:anchorId="414F0213" wp14:editId="20FC3023">
            <wp:extent cx="5943600" cy="3669665"/>
            <wp:effectExtent l="0" t="0" r="0" b="6985"/>
            <wp:docPr id="25" name="Picture" descr="Figure 2: (ref:caption)"/>
            <wp:cNvGraphicFramePr/>
            <a:graphic xmlns:a="http://schemas.openxmlformats.org/drawingml/2006/main">
              <a:graphicData uri="http://schemas.openxmlformats.org/drawingml/2006/picture">
                <pic:pic xmlns:pic="http://schemas.openxmlformats.org/drawingml/2006/picture">
                  <pic:nvPicPr>
                    <pic:cNvPr id="26" name="Picture" descr="knitr-figs-docx/base2-1.png"/>
                    <pic:cNvPicPr>
                      <a:picLocks noChangeAspect="1" noChangeArrowheads="1"/>
                    </pic:cNvPicPr>
                  </pic:nvPicPr>
                  <pic:blipFill>
                    <a:blip r:embed="rId12"/>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463ACB05" w:rsidR="00051C98" w:rsidRPr="002855E9" w:rsidRDefault="49181C28" w:rsidP="001E6C69">
      <w:pPr>
        <w:pStyle w:val="Caption-Figure"/>
        <w:rPr>
          <w:rFonts w:cs="Arial"/>
          <w:color w:val="4F81BD" w:themeColor="accent1"/>
        </w:rPr>
      </w:pPr>
      <w:r>
        <w:t>Figure </w:t>
      </w:r>
      <w:r w:rsidR="001E6C69">
        <w:rPr>
          <w:color w:val="548DD4" w:themeColor="text2" w:themeTint="99"/>
        </w:rPr>
        <w:t>1</w:t>
      </w:r>
      <w:r w:rsidRPr="001E6C69">
        <w:rPr>
          <w:color w:val="548DD4" w:themeColor="text2" w:themeTint="99"/>
        </w:rPr>
        <w:t>. (A – panneau supérieur gauche) Captures</w:t>
      </w:r>
      <w:r w:rsidR="006D26F3" w:rsidRPr="001E6C69">
        <w:rPr>
          <w:color w:val="548DD4" w:themeColor="text2" w:themeTint="99"/>
        </w:rPr>
        <w:t xml:space="preserve"> (débarquements)</w:t>
      </w:r>
      <w:r w:rsidRPr="001E6C69">
        <w:rPr>
          <w:color w:val="548DD4" w:themeColor="text2" w:themeTint="99"/>
        </w:rPr>
        <w:t xml:space="preserve"> et total autorisé des captures; (B – panneau supérieur droit) Biomasse du stock reproducteur (BSR) par rapport au point de référence limite (PRL; X) et au point de référence supérieur du stock (proposé) (PRS; X); (C – panneau inférieur gauche) Mortalité par </w:t>
      </w:r>
      <w:r w:rsidR="006D26F3" w:rsidRPr="001E6C69">
        <w:rPr>
          <w:color w:val="548DD4" w:themeColor="text2" w:themeTint="99"/>
        </w:rPr>
        <w:t xml:space="preserve">la </w:t>
      </w:r>
      <w:r w:rsidRPr="001E6C69">
        <w:rPr>
          <w:color w:val="548DD4" w:themeColor="text2" w:themeTint="99"/>
        </w:rPr>
        <w:t xml:space="preserve">pêche (F, X) à gauche par rapport au </w:t>
      </w:r>
      <w:r w:rsidR="006D26F3" w:rsidRPr="001E6C69">
        <w:rPr>
          <w:color w:val="548DD4" w:themeColor="text2" w:themeTint="99"/>
        </w:rPr>
        <w:t>taux</w:t>
      </w:r>
      <w:r w:rsidRPr="001E6C69">
        <w:rPr>
          <w:color w:val="548DD4" w:themeColor="text2" w:themeTint="99"/>
        </w:rPr>
        <w:t xml:space="preserve"> d’exploitation de référence (</w:t>
      </w:r>
      <w:r w:rsidR="006D26F3" w:rsidRPr="001E6C69">
        <w:rPr>
          <w:color w:val="548DD4" w:themeColor="text2" w:themeTint="99"/>
        </w:rPr>
        <w:t>T</w:t>
      </w:r>
      <w:r w:rsidRPr="001E6C69">
        <w:rPr>
          <w:color w:val="548DD4" w:themeColor="text2" w:themeTint="99"/>
        </w:rPr>
        <w:t>ER) et à la mortalité naturelle (M); (D – panneau inférieur droit) Recrutement (</w:t>
      </w:r>
      <w:r w:rsidR="008456D5" w:rsidRPr="001E6C69">
        <w:rPr>
          <w:color w:val="548DD4" w:themeColor="text2" w:themeTint="99"/>
        </w:rPr>
        <w:t>nombre d’individus</w:t>
      </w:r>
      <w:r w:rsidRPr="001E6C69">
        <w:rPr>
          <w:color w:val="548DD4" w:themeColor="text2" w:themeTint="99"/>
        </w:rPr>
        <w:t>).</w:t>
      </w:r>
    </w:p>
    <w:p w14:paraId="0352E06F" w14:textId="77777777" w:rsidR="005C2350" w:rsidRDefault="009745F4" w:rsidP="005C2350">
      <w:pPr>
        <w:pStyle w:val="BodyText"/>
        <w:rPr>
          <w:rFonts w:eastAsiaTheme="minorHAnsi" w:cs="Arial"/>
          <w:color w:val="4F81BD" w:themeColor="accent1"/>
          <w:szCs w:val="22"/>
        </w:rPr>
      </w:pPr>
      <w:r w:rsidRPr="005C2350">
        <w:rPr>
          <w:color w:val="4F81BD" w:themeColor="accent1"/>
        </w:rPr>
        <w:t xml:space="preserve">[Facultatif. </w:t>
      </w:r>
      <w:r w:rsidRPr="005C2350">
        <w:rPr>
          <w:rStyle w:val="BodyTextChar"/>
          <w:color w:val="4F81BD" w:themeColor="accent1"/>
        </w:rPr>
        <w:t>Ajoutez un panneau facultatif supplémentaire de quatre indicateurs s’il est pertinent pour l’élaboration de l’avis.]</w:t>
      </w:r>
      <w:r w:rsidR="005C2350" w:rsidRPr="005C2350">
        <w:rPr>
          <w:rFonts w:eastAsiaTheme="minorHAnsi" w:cs="Arial"/>
          <w:color w:val="4F81BD" w:themeColor="accent1"/>
          <w:szCs w:val="22"/>
        </w:rPr>
        <w:t xml:space="preserve"> </w:t>
      </w:r>
    </w:p>
    <w:p w14:paraId="4C9E4D4B" w14:textId="431E7A9E" w:rsidR="005C2350" w:rsidRPr="005C2350" w:rsidRDefault="005C2350" w:rsidP="005C2350">
      <w:pPr>
        <w:pStyle w:val="BodyText"/>
        <w:rPr>
          <w:rFonts w:eastAsiaTheme="minorHAnsi" w:cs="Arial"/>
          <w:b/>
          <w:bCs/>
          <w:color w:val="4F81BD" w:themeColor="accent1"/>
          <w:sz w:val="24"/>
          <w:szCs w:val="24"/>
        </w:rPr>
      </w:pPr>
      <w:r w:rsidRPr="005C2350">
        <w:rPr>
          <w:rFonts w:eastAsiaTheme="minorHAnsi" w:cs="Arial"/>
          <w:color w:val="4F81BD" w:themeColor="accent1"/>
          <w:szCs w:val="22"/>
        </w:rPr>
        <w:t>[Facultatif. Si l’ASP ou la RSP est utilisé pour produire des avis pour plus d’un stock ou d’une sous-unité, les panneaux obligatoires et facultatifs peuvent être répétés pour chaque stock ou sous-unité.]</w:t>
      </w:r>
    </w:p>
    <w:p w14:paraId="1EF4A16F" w14:textId="37811D19" w:rsidR="00051C98" w:rsidRPr="000027DA" w:rsidRDefault="00445159" w:rsidP="008519CA">
      <w:pPr>
        <w:pStyle w:val="Heading3"/>
      </w:pPr>
      <w:r>
        <w:t xml:space="preserve">État du stock et tendances </w:t>
      </w:r>
    </w:p>
    <w:p w14:paraId="6DFF112C" w14:textId="40FAE276" w:rsidR="009745F4" w:rsidRDefault="009745F4" w:rsidP="00FC2F23">
      <w:pPr>
        <w:pStyle w:val="BodyText"/>
        <w:rPr>
          <w:color w:val="4F81BD" w:themeColor="accent1"/>
        </w:rPr>
      </w:pPr>
      <w:r>
        <w:rPr>
          <w:color w:val="4F81BD" w:themeColor="accent1"/>
        </w:rPr>
        <w:t>[Obligatoire. Longueur maximale de la section : une page. Doit être la première section de la partie Évaluation.</w:t>
      </w:r>
      <w:r>
        <w:rPr>
          <w:i/>
        </w:rPr>
        <w:t xml:space="preserve"> </w:t>
      </w:r>
      <w:r>
        <w:rPr>
          <w:color w:val="4F81BD" w:themeColor="accent1"/>
        </w:rPr>
        <w:t>Au besoin, cette section peut être reproduite pour chaque stock ou sous-unité, bien qu’il puisse être préférable de conserver une seule section dans laquelle tous les stocks et sous-unités sont décrits.]</w:t>
      </w:r>
    </w:p>
    <w:p w14:paraId="3094EA28" w14:textId="27AB7CF6" w:rsidR="0024540F" w:rsidRPr="00801E71" w:rsidRDefault="00DF38CA" w:rsidP="008011D0">
      <w:pPr>
        <w:pStyle w:val="BodyText"/>
        <w:rPr>
          <w:rFonts w:eastAsia="Calibri"/>
          <w:color w:val="4F81BD" w:themeColor="accent1"/>
        </w:rPr>
      </w:pPr>
      <w:bookmarkStart w:id="9" w:name="_Hlk150255371"/>
      <w:r>
        <w:rPr>
          <w:color w:val="4F81BD" w:themeColor="accent1"/>
        </w:rPr>
        <w:t>[Fournissez des renseignements sur l’état du stock et tous les indicateurs clés pour le ou les stocks pertinents pour la prise de décisions, sur des échelles de temps utiles pour le stock. Des tableaux peuvent être utilisés s’ils sont utiles pour la prise de décisions. Citez les figures et les tableaux obligatoires et facultatifs dans le texte, au besoin. Indiquez les tendances des indicateurs pertinents, un par paragraphe, dans le format suivant :]</w:t>
      </w:r>
    </w:p>
    <w:p w14:paraId="20A564FC" w14:textId="256EE386" w:rsidR="007A6FC7" w:rsidRDefault="001954EC" w:rsidP="008519CA">
      <w:pPr>
        <w:pStyle w:val="Heading4"/>
        <w:rPr>
          <w:rFonts w:eastAsia="Calibri"/>
        </w:rPr>
      </w:pPr>
      <w:r>
        <w:t>[Indicateur 1] [précisez le nom, p. ex. Abondance]</w:t>
      </w:r>
    </w:p>
    <w:p w14:paraId="525DD5A0" w14:textId="0CAF431B" w:rsidR="0024540F" w:rsidRDefault="00DF38CA" w:rsidP="008011D0">
      <w:pPr>
        <w:pStyle w:val="BodyText"/>
        <w:rPr>
          <w:rFonts w:eastAsia="Calibri"/>
          <w:color w:val="4F81BD" w:themeColor="accent1"/>
        </w:rPr>
      </w:pPr>
      <w:r>
        <w:rPr>
          <w:color w:val="4F81BD" w:themeColor="accent1"/>
        </w:rPr>
        <w:t>[Indiquez les valeurs et décrivez les tendances du stock (le cas échéant). Utilisez autant d’indicateurs que possible pour produire l’avis en vue de la prise de décisions.]</w:t>
      </w:r>
    </w:p>
    <w:p w14:paraId="7745313E" w14:textId="01854BA8" w:rsidR="00445159" w:rsidRDefault="00445159" w:rsidP="008519CA">
      <w:pPr>
        <w:pStyle w:val="Heading4"/>
        <w:rPr>
          <w:rFonts w:eastAsia="Calibri"/>
          <w:color w:val="4F80BD"/>
        </w:rPr>
      </w:pPr>
      <w:r>
        <w:lastRenderedPageBreak/>
        <w:t>État actuel</w:t>
      </w:r>
    </w:p>
    <w:p w14:paraId="79488528" w14:textId="2D309B3D" w:rsidR="005C0EAE" w:rsidRDefault="005C0EAE" w:rsidP="00445159">
      <w:pPr>
        <w:pStyle w:val="BodyText"/>
        <w:rPr>
          <w:rFonts w:eastAsia="Calibri"/>
          <w:color w:val="4F81BD" w:themeColor="accent1"/>
        </w:rPr>
      </w:pPr>
      <w:r>
        <w:rPr>
          <w:color w:val="4F80BD"/>
        </w:rPr>
        <w:t>[Obligatoire. Indiquez l’état du stock par rapport à ses points de référence ou précisez que l’état est inconnu s’il n’y a pas de points de référence.]</w:t>
      </w:r>
    </w:p>
    <w:p w14:paraId="283C3F9F" w14:textId="33186BF3" w:rsidR="00DF38CA" w:rsidRDefault="00841025" w:rsidP="008519CA">
      <w:pPr>
        <w:pStyle w:val="Heading4"/>
      </w:pPr>
      <w:r>
        <w:t>Inconnu</w:t>
      </w:r>
    </w:p>
    <w:p w14:paraId="0CB58463" w14:textId="262476D9" w:rsidR="007D7FA1" w:rsidRDefault="00DF38CA" w:rsidP="00FC2F23">
      <w:pPr>
        <w:pStyle w:val="BodyText"/>
      </w:pPr>
      <w:r>
        <w:rPr>
          <w:color w:val="4F81BD" w:themeColor="accent1"/>
        </w:rPr>
        <w:t>[Facultatif. Précisez les indicateurs qui ne sont pas disponibles pour le stock (le cas échéant); ne pas inclure sinon.]</w:t>
      </w:r>
    </w:p>
    <w:p w14:paraId="1C14BBA9" w14:textId="77777777" w:rsidR="008519CA" w:rsidRPr="008519CA" w:rsidRDefault="008519CA" w:rsidP="008519CA">
      <w:pPr>
        <w:pStyle w:val="Heading3"/>
      </w:pPr>
      <w:bookmarkStart w:id="10" w:name="_Hlk150255575"/>
      <w:bookmarkEnd w:id="9"/>
      <w:r w:rsidRPr="008519CA">
        <w:t>Historique de [gestion; débarquements/pêche/effort, TAC et avis sur les prises]</w:t>
      </w:r>
    </w:p>
    <w:p w14:paraId="373A2083" w14:textId="5ADC57B0" w:rsidR="0098037A" w:rsidRDefault="008519CA" w:rsidP="008519CA">
      <w:pPr>
        <w:pStyle w:val="BodyText"/>
        <w:rPr>
          <w:color w:val="548DD4" w:themeColor="text2" w:themeTint="99"/>
        </w:rPr>
      </w:pPr>
      <w:bookmarkStart w:id="11" w:name="_Hlk150255965"/>
      <w:bookmarkEnd w:id="10"/>
      <w:r w:rsidRPr="008519CA">
        <w:rPr>
          <w:color w:val="548DD4" w:themeColor="text2" w:themeTint="99"/>
        </w:rPr>
        <w:t xml:space="preserve">[Obligatoire. Le titre peut varier. Longueur maximale de la section : une page. </w:t>
      </w:r>
      <w:bookmarkStart w:id="12" w:name="_Hlk193810165"/>
      <w:r w:rsidRPr="008519CA">
        <w:rPr>
          <w:color w:val="548DD4" w:themeColor="text2" w:themeTint="99"/>
        </w:rPr>
        <w:t xml:space="preserve">Comme pour l’état et les tendances du stock, cette section vise à fournir des renseignements sur les indicateurs clés passés et présents et sur les niveaux de référence de la gestion des pêches, des écloseries ou de l’habitat qui sont pertinents pour la prise de décisions, sur des échelles de temps utiles pour le stock.] </w:t>
      </w:r>
      <w:bookmarkEnd w:id="12"/>
    </w:p>
    <w:p w14:paraId="0B432947" w14:textId="02D12B3A" w:rsidR="008519CA" w:rsidRPr="008519CA" w:rsidRDefault="008519CA" w:rsidP="008519CA">
      <w:pPr>
        <w:pStyle w:val="Heading4"/>
        <w:rPr>
          <w:rStyle w:val="BodyTextChar"/>
          <w:b w:val="0"/>
        </w:rPr>
      </w:pPr>
      <w:r w:rsidRPr="008519CA">
        <w:t>Historique de la production en écloserie et des activités d’ensemencement</w:t>
      </w:r>
    </w:p>
    <w:p w14:paraId="05844E9E" w14:textId="60D0E5CD" w:rsidR="00757994" w:rsidRPr="00051C98" w:rsidRDefault="002A103F" w:rsidP="00757994">
      <w:pPr>
        <w:pStyle w:val="BodyText"/>
        <w:rPr>
          <w:color w:val="4F81BD" w:themeColor="accent1"/>
        </w:rPr>
      </w:pPr>
      <w:r>
        <w:rPr>
          <w:color w:val="4F81BD" w:themeColor="accent1"/>
        </w:rPr>
        <w:t>[Le cas échéant (ne pas inclure sinon).]</w:t>
      </w:r>
    </w:p>
    <w:bookmarkEnd w:id="11"/>
    <w:p w14:paraId="2B270A21" w14:textId="77777777" w:rsidR="008519CA" w:rsidRPr="008519CA" w:rsidRDefault="008519CA" w:rsidP="008519CA">
      <w:pPr>
        <w:pStyle w:val="Heading4"/>
      </w:pPr>
      <w:r w:rsidRPr="008519CA">
        <w:t>Historique des impacts sur les habitats d’eau douce</w:t>
      </w:r>
    </w:p>
    <w:p w14:paraId="0E4830B7" w14:textId="55C51266" w:rsidR="002A103F" w:rsidRPr="00051C98" w:rsidRDefault="002A103F" w:rsidP="002A103F">
      <w:pPr>
        <w:pStyle w:val="BodyText"/>
        <w:rPr>
          <w:color w:val="4F81BD" w:themeColor="accent1"/>
        </w:rPr>
      </w:pPr>
      <w:r>
        <w:rPr>
          <w:color w:val="4F81BD" w:themeColor="accent1"/>
        </w:rPr>
        <w:t>[Le cas échéant (ne pas inclure sinon).]</w:t>
      </w:r>
    </w:p>
    <w:p w14:paraId="77C63CD7" w14:textId="77777777" w:rsidR="008519CA" w:rsidRPr="008519CA" w:rsidRDefault="008519CA" w:rsidP="008519CA">
      <w:pPr>
        <w:pStyle w:val="Heading3"/>
      </w:pPr>
      <w:r w:rsidRPr="008519CA">
        <w:t>Considérations liées à l’écosystème et aux changements climatiques</w:t>
      </w:r>
    </w:p>
    <w:p w14:paraId="0F515F62" w14:textId="27ECFC1D" w:rsidR="00E73F69" w:rsidRDefault="00E73F69" w:rsidP="00E73F69">
      <w:pPr>
        <w:pStyle w:val="BodyText"/>
        <w:rPr>
          <w:color w:val="4F81BD" w:themeColor="accent1"/>
        </w:rPr>
      </w:pPr>
      <w:r>
        <w:rPr>
          <w:color w:val="4F80BD"/>
        </w:rPr>
        <w:t xml:space="preserve">[Obligatoire. Moins de 300 mots. </w:t>
      </w:r>
      <w:bookmarkStart w:id="13" w:name="_Hlk193810357"/>
      <w:r>
        <w:rPr>
          <w:color w:val="4F80BD"/>
        </w:rPr>
        <w:t>Des sous-titres, des tableaux ou des figures peuvent être utilisés. Cette section vise à décrire brièvement les facteurs environnementaux, écosystémiques, écologiques ou liés au</w:t>
      </w:r>
      <w:r w:rsidR="0045450E">
        <w:rPr>
          <w:color w:val="4F80BD"/>
        </w:rPr>
        <w:t>x</w:t>
      </w:r>
      <w:r>
        <w:rPr>
          <w:color w:val="4F80BD"/>
        </w:rPr>
        <w:t xml:space="preserve"> changement</w:t>
      </w:r>
      <w:r w:rsidR="0045450E">
        <w:rPr>
          <w:color w:val="4F80BD"/>
        </w:rPr>
        <w:t>s</w:t>
      </w:r>
      <w:r>
        <w:rPr>
          <w:color w:val="4F80BD"/>
        </w:rPr>
        <w:t xml:space="preserve"> climatique</w:t>
      </w:r>
      <w:r w:rsidR="0045450E">
        <w:rPr>
          <w:color w:val="4F80BD"/>
        </w:rPr>
        <w:t>s</w:t>
      </w:r>
      <w:r>
        <w:rPr>
          <w:color w:val="4F80BD"/>
        </w:rPr>
        <w:t xml:space="preserve"> qui ont une incidence sur </w:t>
      </w:r>
      <w:r w:rsidR="00C348F1">
        <w:rPr>
          <w:color w:val="4F80BD"/>
        </w:rPr>
        <w:t>le</w:t>
      </w:r>
      <w:r w:rsidR="005B7308">
        <w:rPr>
          <w:color w:val="4F80BD"/>
        </w:rPr>
        <w:t xml:space="preserve"> ou les </w:t>
      </w:r>
      <w:r w:rsidR="00C348F1">
        <w:rPr>
          <w:color w:val="4F80BD"/>
        </w:rPr>
        <w:t>stock</w:t>
      </w:r>
      <w:r w:rsidR="005B7308">
        <w:rPr>
          <w:color w:val="4F80BD"/>
        </w:rPr>
        <w:t>(s)</w:t>
      </w:r>
      <w:r w:rsidR="00C348F1">
        <w:rPr>
          <w:color w:val="4F80BD"/>
        </w:rPr>
        <w:t xml:space="preserve"> </w:t>
      </w:r>
      <w:r>
        <w:rPr>
          <w:color w:val="4F80BD"/>
        </w:rPr>
        <w:t>de poissons, et à expliquer comment ils ont été pris en compte dans l’avis, de manière à ce que les décideurs puissent facilement les consulter.]</w:t>
      </w:r>
      <w:bookmarkEnd w:id="13"/>
    </w:p>
    <w:p w14:paraId="783C09BE" w14:textId="3FBEBF03" w:rsidR="003C40DB" w:rsidRPr="00F17234" w:rsidRDefault="005C0EAE" w:rsidP="008519CA">
      <w:pPr>
        <w:pStyle w:val="Heading3"/>
      </w:pPr>
      <w:bookmarkStart w:id="14" w:name="_Hlk195622584"/>
      <w:r>
        <w:t>Avis sur le stock [titres facultatifs : Projections, Simulations, Scénarios futurs]</w:t>
      </w:r>
    </w:p>
    <w:p w14:paraId="50FF1670" w14:textId="68C96C19" w:rsidR="002A103F" w:rsidRDefault="002A103F" w:rsidP="003C40DB">
      <w:pPr>
        <w:pStyle w:val="BodyText"/>
        <w:rPr>
          <w:color w:val="4F81BD" w:themeColor="accent1"/>
        </w:rPr>
      </w:pPr>
      <w:r>
        <w:rPr>
          <w:color w:val="4F81BD" w:themeColor="accent1"/>
        </w:rPr>
        <w:t xml:space="preserve">[Obligatoire. Le titre peut varier. Il est possible d’utiliser des sous-titres. Cette section vise à fournir à </w:t>
      </w:r>
      <w:r w:rsidR="005B7308">
        <w:rPr>
          <w:color w:val="4F81BD" w:themeColor="accent1"/>
        </w:rPr>
        <w:t xml:space="preserve">la </w:t>
      </w:r>
      <w:r>
        <w:rPr>
          <w:color w:val="4F81BD" w:themeColor="accent1"/>
        </w:rPr>
        <w:t xml:space="preserve">Gestion des pêches des avis scientifiques prospectifs sur les perspectives du stock, </w:t>
      </w:r>
      <w:r w:rsidR="005B7308">
        <w:t>généralement dans le contexte des niveaux de prélèvement actuels ou proposés</w:t>
      </w:r>
      <w:r>
        <w:rPr>
          <w:color w:val="4F81BD" w:themeColor="accent1"/>
        </w:rPr>
        <w:t xml:space="preserve">, des règles de décision </w:t>
      </w:r>
      <w:r w:rsidR="005B7308" w:rsidRPr="005B7308">
        <w:rPr>
          <w:color w:val="4F81BD" w:themeColor="accent1"/>
        </w:rPr>
        <w:t>concernant les prélèvements</w:t>
      </w:r>
      <w:r w:rsidR="005B7308">
        <w:rPr>
          <w:color w:val="4F81BD" w:themeColor="accent1"/>
        </w:rPr>
        <w:t xml:space="preserve">, </w:t>
      </w:r>
      <w:r>
        <w:rPr>
          <w:color w:val="4F81BD" w:themeColor="accent1"/>
        </w:rPr>
        <w:t>ou d’autres mesures, procédures ou scénarios de gestion qui peuvent être envisagés par les décideurs. Il n’y a pas de limite de longueur pour cette section,</w:t>
      </w:r>
      <w:r w:rsidR="005B7308">
        <w:rPr>
          <w:color w:val="4F81BD" w:themeColor="accent1"/>
        </w:rPr>
        <w:t xml:space="preserve"> cependant, les directives de longueur globales du </w:t>
      </w:r>
      <w:r>
        <w:rPr>
          <w:color w:val="4F81BD" w:themeColor="accent1"/>
        </w:rPr>
        <w:t xml:space="preserve">document s’applique toujours. Des tableaux ou des figures peuvent être utilisés au besoin pour </w:t>
      </w:r>
      <w:r w:rsidR="005B7308">
        <w:rPr>
          <w:color w:val="4F81BD" w:themeColor="accent1"/>
        </w:rPr>
        <w:t xml:space="preserve">soutenir </w:t>
      </w:r>
      <w:r>
        <w:rPr>
          <w:color w:val="4F81BD" w:themeColor="accent1"/>
        </w:rPr>
        <w:t>la prise de décisions.]</w:t>
      </w:r>
    </w:p>
    <w:bookmarkEnd w:id="14"/>
    <w:p w14:paraId="7C8A5F11" w14:textId="496ABE4B" w:rsidR="00FB6FD8" w:rsidRPr="00543275" w:rsidRDefault="00FB6FD8" w:rsidP="008519CA">
      <w:pPr>
        <w:pStyle w:val="Heading4"/>
      </w:pPr>
      <w:r>
        <w:t>Règle de décision sur les prises</w:t>
      </w:r>
    </w:p>
    <w:p w14:paraId="636E0BC8" w14:textId="6EF3BEE1" w:rsidR="00FB6FD8" w:rsidRPr="00FB6FD8" w:rsidRDefault="00FB6FD8" w:rsidP="00FB6FD8">
      <w:pPr>
        <w:pStyle w:val="BodyText"/>
        <w:rPr>
          <w:rStyle w:val="BodyTextChar"/>
          <w:b/>
          <w:color w:val="4F81BD" w:themeColor="accent1"/>
        </w:rPr>
      </w:pPr>
      <w:r>
        <w:rPr>
          <w:color w:val="4F81BD" w:themeColor="accent1"/>
        </w:rPr>
        <w:t xml:space="preserve">[Le cas échéant (ne pas inclure sinon). </w:t>
      </w:r>
      <w:bookmarkStart w:id="15" w:name="_Hlk193810472"/>
      <w:r>
        <w:rPr>
          <w:color w:val="4F81BD" w:themeColor="accent1"/>
        </w:rPr>
        <w:t xml:space="preserve">Fourniture des renseignements nécessaires pour appliquer une règle de décision sur les prises pour le stock.] </w:t>
      </w:r>
      <w:bookmarkEnd w:id="15"/>
    </w:p>
    <w:p w14:paraId="4D81E42B" w14:textId="77777777" w:rsidR="001E7B8F" w:rsidRPr="001E7B8F" w:rsidRDefault="001E7B8F" w:rsidP="001E7B8F">
      <w:pPr>
        <w:pStyle w:val="Heading3"/>
      </w:pPr>
      <w:r w:rsidRPr="001E7B8F">
        <w:t>Circonstances exceptionnelles</w:t>
      </w:r>
    </w:p>
    <w:p w14:paraId="3AFC8149" w14:textId="77238954" w:rsidR="005518CF" w:rsidRDefault="00DF5145" w:rsidP="00A5562E">
      <w:pPr>
        <w:pStyle w:val="BodyText"/>
        <w:rPr>
          <w:color w:val="4F81BD" w:themeColor="accent1"/>
        </w:rPr>
      </w:pPr>
      <w:r>
        <w:rPr>
          <w:color w:val="4F81BD" w:themeColor="accent1"/>
        </w:rPr>
        <w:t>[Le cas échéant (ne pas inclure sinon).</w:t>
      </w:r>
      <w:r>
        <w:t xml:space="preserve"> </w:t>
      </w:r>
      <w:bookmarkStart w:id="16" w:name="_Hlk193810503"/>
      <w:r>
        <w:rPr>
          <w:color w:val="4F81BD" w:themeColor="accent1"/>
        </w:rPr>
        <w:t xml:space="preserve">Proposition ou évaluation des circonstances exceptionnelles déjà établies qui pourraient dénoter la nécessité de réévaluer les procédures de gestion dans le contexte d’une ESG.] </w:t>
      </w:r>
      <w:bookmarkEnd w:id="16"/>
    </w:p>
    <w:p w14:paraId="148A3C65" w14:textId="2CC0F984" w:rsidR="00300943" w:rsidRPr="006517A8" w:rsidRDefault="00300943" w:rsidP="00E60EED">
      <w:pPr>
        <w:pStyle w:val="Heading2"/>
        <w:rPr>
          <w:rStyle w:val="Heading1Char"/>
          <w:b/>
          <w:bCs w:val="0"/>
        </w:rPr>
      </w:pPr>
      <w:bookmarkStart w:id="17" w:name="_Toc127900373"/>
      <w:r>
        <w:rPr>
          <w:rStyle w:val="Heading2Char"/>
          <w:b/>
        </w:rPr>
        <w:lastRenderedPageBreak/>
        <w:t>PROCÉDURE POUR LES MISES À JOUR DES ANNÉES INTERMÉDIAIRES</w:t>
      </w:r>
      <w:bookmarkEnd w:id="17"/>
      <w:r>
        <w:rPr>
          <w:rStyle w:val="Heading1Char"/>
          <w:b/>
        </w:rPr>
        <w:t xml:space="preserve"> </w:t>
      </w:r>
    </w:p>
    <w:p w14:paraId="163BB281" w14:textId="7B4A0F54" w:rsidR="00300943" w:rsidRPr="00051C98" w:rsidRDefault="00300943" w:rsidP="00300943">
      <w:pPr>
        <w:pStyle w:val="BodyText"/>
        <w:rPr>
          <w:color w:val="4F81BD" w:themeColor="accent1"/>
        </w:rPr>
      </w:pPr>
      <w:r>
        <w:rPr>
          <w:color w:val="4F81BD" w:themeColor="accent1"/>
        </w:rPr>
        <w:t xml:space="preserve">[Facultatif (ne pas inclure sinon). </w:t>
      </w:r>
      <w:bookmarkStart w:id="18" w:name="_Hlk193810591"/>
      <w:r>
        <w:rPr>
          <w:color w:val="4F81BD" w:themeColor="accent1"/>
        </w:rPr>
        <w:t>Si un processus de mise à jour pour une année int</w:t>
      </w:r>
      <w:r w:rsidR="00223408">
        <w:rPr>
          <w:color w:val="4F81BD" w:themeColor="accent1"/>
        </w:rPr>
        <w:t>ermédiaire</w:t>
      </w:r>
      <w:r>
        <w:rPr>
          <w:color w:val="4F81BD" w:themeColor="accent1"/>
        </w:rPr>
        <w:t xml:space="preserve"> (MPO 2016) est établi pour la première fois durant cette réunion ou s’il existe un processus établi pour le stock, décrivez-le brièvement dans cette section.] </w:t>
      </w:r>
      <w:bookmarkEnd w:id="18"/>
    </w:p>
    <w:p w14:paraId="6DDBB848" w14:textId="77777777" w:rsidR="001E7B8F" w:rsidRPr="001E7B8F" w:rsidRDefault="001E7B8F" w:rsidP="001E7B8F">
      <w:pPr>
        <w:pStyle w:val="Heading3"/>
      </w:pPr>
      <w:bookmarkStart w:id="19" w:name="_Hlk193810631"/>
      <w:r w:rsidRPr="001E7B8F">
        <w:t>Évaluation des déclencheurs de l’évaluation</w:t>
      </w:r>
    </w:p>
    <w:p w14:paraId="4292CB33" w14:textId="6DF38EE0" w:rsidR="00300943" w:rsidRPr="00223408" w:rsidRDefault="00300943" w:rsidP="00A5562E">
      <w:pPr>
        <w:pStyle w:val="BodyText"/>
        <w:rPr>
          <w:rStyle w:val="BodyTextChar"/>
          <w:b/>
        </w:rPr>
      </w:pPr>
      <w:r>
        <w:rPr>
          <w:color w:val="4F81BD" w:themeColor="accent1"/>
        </w:rPr>
        <w:t xml:space="preserve">[Le cas échéant (ne pas inclure sinon). S’applique pendant les mises à jour pour une année intermédiaire. Évaluation de tout déclencheur qui déclencherait une évaluation du stock plus tôt que le cycle préétabli.] </w:t>
      </w:r>
      <w:bookmarkEnd w:id="19"/>
    </w:p>
    <w:p w14:paraId="58153F10" w14:textId="198A7047" w:rsidR="00A75E70" w:rsidRPr="002E6CB9" w:rsidRDefault="00A75E70" w:rsidP="00E60EED">
      <w:pPr>
        <w:pStyle w:val="Heading2"/>
      </w:pPr>
      <w:r>
        <w:t>PRISES ACCESSOIRES</w:t>
      </w:r>
    </w:p>
    <w:p w14:paraId="5BCD8364" w14:textId="3A045434" w:rsidR="00870729" w:rsidRPr="00051C98" w:rsidRDefault="00B852DB" w:rsidP="00A5562E">
      <w:pPr>
        <w:pStyle w:val="BodyText"/>
        <w:rPr>
          <w:color w:val="4F81BD" w:themeColor="accent1"/>
        </w:rPr>
      </w:pPr>
      <w:r>
        <w:rPr>
          <w:color w:val="4F80BD"/>
        </w:rPr>
        <w:t xml:space="preserve">[Facultatif (ne pas inclure sinon). </w:t>
      </w:r>
      <w:bookmarkStart w:id="20" w:name="_Hlk193810694"/>
      <w:r>
        <w:rPr>
          <w:color w:val="4F80BD"/>
        </w:rPr>
        <w:t xml:space="preserve">Estimations des prises accessoires d’espèces non ciblées. Si l’espèce ciblée visée par cette évaluation est capturée dans d’autres pêches, cette information doit être résumée dans la partie de l’évaluation consacrée aux débarquements. </w:t>
      </w:r>
      <w:bookmarkEnd w:id="20"/>
    </w:p>
    <w:p w14:paraId="5A765632" w14:textId="56DB2C5C" w:rsidR="00D23E0D" w:rsidRPr="002E6CB9" w:rsidRDefault="001E7B8F" w:rsidP="00E60EED">
      <w:pPr>
        <w:pStyle w:val="Heading2"/>
      </w:pPr>
      <w:r>
        <w:rPr>
          <w:caps w:val="0"/>
        </w:rPr>
        <w:t>AUTRES QUESTIONS DE GESTION</w:t>
      </w:r>
    </w:p>
    <w:p w14:paraId="07A364F4" w14:textId="77777777" w:rsidR="001E7B8F" w:rsidRPr="001E7B8F" w:rsidRDefault="001E7B8F" w:rsidP="001E7B8F">
      <w:pPr>
        <w:pStyle w:val="BodyText"/>
        <w:rPr>
          <w:color w:val="548DD4" w:themeColor="text2" w:themeTint="99"/>
        </w:rPr>
      </w:pPr>
      <w:r w:rsidRPr="001E7B8F">
        <w:rPr>
          <w:color w:val="548DD4" w:themeColor="text2" w:themeTint="99"/>
        </w:rPr>
        <w:t xml:space="preserve">[Facultatif (ne pas inclure sinon). </w:t>
      </w:r>
      <w:bookmarkStart w:id="21" w:name="_Hlk193810725"/>
      <w:r w:rsidRPr="001E7B8F">
        <w:rPr>
          <w:color w:val="548DD4" w:themeColor="text2" w:themeTint="99"/>
        </w:rPr>
        <w:t xml:space="preserve">S’il y a d’autres questions de gestion à aborder pendant une évaluation complète, comme d’autres types de mesures de gestion ou de rétablissement, des avis sur des points de référence possibles ou des objectifs mesurables demandés par la Gestion des pêches ou des avis concernant d’autres politiques du Cadre pour la pêche durable, un bref sommaire de l’évaluation peut être placé ici. Le contenu doit être pertinent pour la prise de décisions, et les points sommaires correspondants peuvent ensuite être ajoutés à la section sur l’avis scientifique sous la rubrique facultative des autres questions de gestion. Il est possible d’utiliser des tableaux ou des figures, s’ils sont utiles pour l’avis.] </w:t>
      </w:r>
      <w:bookmarkEnd w:id="21"/>
    </w:p>
    <w:p w14:paraId="5AA5FAC4" w14:textId="3C5F8C55" w:rsidR="006012C6" w:rsidRDefault="00543275" w:rsidP="00E60EED">
      <w:pPr>
        <w:pStyle w:val="Heading2"/>
      </w:pPr>
      <w:r>
        <w:t>SOURCES D’INCERTITUDE</w:t>
      </w:r>
    </w:p>
    <w:p w14:paraId="7A17B17B" w14:textId="77777777" w:rsidR="009E5A82" w:rsidRDefault="00DF5145" w:rsidP="098D123C">
      <w:pPr>
        <w:pStyle w:val="BodyText"/>
        <w:rPr>
          <w:color w:val="4F81BD" w:themeColor="accent1"/>
        </w:rPr>
      </w:pPr>
      <w:r>
        <w:rPr>
          <w:color w:val="4F81BD" w:themeColor="accent1"/>
        </w:rPr>
        <w:t>[Obligatoire. Moins de 500 mots.</w:t>
      </w:r>
      <w:r>
        <w:rPr>
          <w:i/>
        </w:rPr>
        <w:t xml:space="preserve"> </w:t>
      </w:r>
      <w:bookmarkStart w:id="22" w:name="_Hlk193810812"/>
      <w:r>
        <w:rPr>
          <w:color w:val="4F81BD" w:themeColor="accent1"/>
        </w:rPr>
        <w:t>Cernez et expliquez les principales incertitudes, y compris les hypothèses, qui peuvent avoir une incidence sur l’avis, afin d’éviter une mauvaise interprétation de l’avis présenté dans les sections précédentes.]</w:t>
      </w:r>
      <w:bookmarkEnd w:id="22"/>
    </w:p>
    <w:p w14:paraId="7A84CDBE" w14:textId="1A38483C" w:rsidR="000D7196" w:rsidRDefault="000D7196" w:rsidP="00E60EED">
      <w:pPr>
        <w:pStyle w:val="Heading2"/>
      </w:pPr>
      <w:bookmarkStart w:id="23" w:name="_Hlk150262412"/>
      <w:r>
        <w:t xml:space="preserve">LISTE DES PARTICIPANTS </w:t>
      </w:r>
      <w:r w:rsidR="00406BA1">
        <w:t>DE</w:t>
      </w:r>
      <w:r>
        <w:t xml:space="preserve"> LA RÉUNION</w:t>
      </w:r>
    </w:p>
    <w:p w14:paraId="4F4AA8F5" w14:textId="5AFCE18C" w:rsidR="000D7196" w:rsidRPr="00051C98" w:rsidRDefault="0013734C" w:rsidP="00EE083B">
      <w:pPr>
        <w:pStyle w:val="BodyText"/>
        <w:rPr>
          <w:color w:val="4F81BD" w:themeColor="accent1"/>
        </w:rPr>
      </w:pPr>
      <w:r>
        <w:rPr>
          <w:color w:val="4F81BD" w:themeColor="accent1"/>
        </w:rPr>
        <w:t>[Obligatoire. La liste doit comprendre le nom de chaque participant et son organisme d’appartenance.]</w:t>
      </w:r>
    </w:p>
    <w:p w14:paraId="7E408BE0" w14:textId="77777777" w:rsidR="000779BA" w:rsidRPr="00EA1D4D" w:rsidRDefault="00982EA7" w:rsidP="00E60EED">
      <w:pPr>
        <w:pStyle w:val="Heading2"/>
      </w:pPr>
      <w:r>
        <w:t>SOURCES DE RENSEIGNEMENTS</w:t>
      </w:r>
    </w:p>
    <w:p w14:paraId="0D431E84" w14:textId="27F52C6E" w:rsidR="00484F89" w:rsidRPr="00051C98" w:rsidRDefault="0013734C" w:rsidP="0092747E">
      <w:pPr>
        <w:pStyle w:val="BodyText"/>
        <w:rPr>
          <w:color w:val="4F81BD" w:themeColor="accent1"/>
        </w:rPr>
      </w:pPr>
      <w:r>
        <w:rPr>
          <w:color w:val="4F81BD" w:themeColor="accent1"/>
        </w:rPr>
        <w:t>[Obligatoire.]</w:t>
      </w:r>
    </w:p>
    <w:p w14:paraId="24C08F5C" w14:textId="487C8834" w:rsidR="00947EE9" w:rsidRPr="00051C98" w:rsidRDefault="0013734C" w:rsidP="0092747E">
      <w:pPr>
        <w:pStyle w:val="BodyText"/>
        <w:rPr>
          <w:color w:val="4F81BD" w:themeColor="accent1"/>
        </w:rPr>
      </w:pPr>
      <w:r>
        <w:rPr>
          <w:color w:val="4F80BD"/>
        </w:rPr>
        <w:t xml:space="preserve">[Les références ne doivent être incluses que pour permettre de comprendre l’avis et non pour reconnaître le travail, comme c’est le cas dans le document de recherche. </w:t>
      </w:r>
      <w:bookmarkStart w:id="24" w:name="_Hlk153311411"/>
      <w:r>
        <w:rPr>
          <w:color w:val="4F80BD"/>
        </w:rPr>
        <w:t>Les renvois au document de travail non publié doivent être intégrés en tant que notes de bas de page dans l’ensemble de ce document.</w:t>
      </w:r>
      <w:bookmarkEnd w:id="24"/>
      <w:r>
        <w:rPr>
          <w:color w:val="4F80BD"/>
        </w:rPr>
        <w:t>]</w:t>
      </w:r>
    </w:p>
    <w:p w14:paraId="6B24DE18" w14:textId="6F364805" w:rsidR="00500D4C" w:rsidRPr="00051C98" w:rsidRDefault="007E0A0F" w:rsidP="0092747E">
      <w:pPr>
        <w:pStyle w:val="BodyText"/>
        <w:rPr>
          <w:rStyle w:val="Hyperlink"/>
          <w:color w:val="4F81BD" w:themeColor="accent1"/>
        </w:rPr>
      </w:pPr>
      <w:r>
        <w:rPr>
          <w:color w:val="4F81BD" w:themeColor="accent1"/>
        </w:rPr>
        <w:t xml:space="preserve">[Les références doivent être formatées conformément au </w:t>
      </w:r>
      <w:r w:rsidR="007414B1" w:rsidRPr="51AE7A7F">
        <w:rPr>
          <w:i/>
          <w:color w:val="4F81BD" w:themeColor="accent1"/>
          <w:shd w:val="clear" w:color="auto" w:fill="E6E6E6"/>
        </w:rPr>
        <w:fldChar w:fldCharType="begin"/>
      </w:r>
      <w:r w:rsidR="007414B1" w:rsidRPr="00051C98">
        <w:rPr>
          <w:i/>
          <w:color w:val="4F81BD" w:themeColor="accent1"/>
        </w:rPr>
        <w:instrText xml:space="preserve"> HYPERLINK "https://publications.gc.ca/collections/collection_2020/mpo-dfo/Fs23-176-2019-fra.pdf" </w:instrText>
      </w:r>
      <w:r w:rsidR="007414B1" w:rsidRPr="51AE7A7F">
        <w:rPr>
          <w:i/>
          <w:color w:val="4F81BD" w:themeColor="accent1"/>
          <w:shd w:val="clear" w:color="auto" w:fill="E6E6E6"/>
        </w:rPr>
      </w:r>
      <w:r w:rsidR="007414B1" w:rsidRPr="51AE7A7F">
        <w:rPr>
          <w:i/>
          <w:color w:val="4F81BD" w:themeColor="accent1"/>
          <w:shd w:val="clear" w:color="auto" w:fill="E6E6E6"/>
        </w:rPr>
        <w:fldChar w:fldCharType="separate"/>
      </w:r>
      <w:r>
        <w:rPr>
          <w:rStyle w:val="Hyperlink"/>
          <w:i/>
          <w:color w:val="4F81BD" w:themeColor="accent1"/>
        </w:rPr>
        <w:t>Guide pour la préparation des séries de rapports scientifiques de Pêches et Océans Canada</w:t>
      </w:r>
      <w:r>
        <w:rPr>
          <w:rStyle w:val="Hyperlink"/>
          <w:color w:val="4F81BD" w:themeColor="accent1"/>
        </w:rPr>
        <w:t xml:space="preserve">. </w:t>
      </w:r>
      <w:bookmarkStart w:id="25" w:name="_Hlk154131363"/>
      <w:bookmarkStart w:id="26" w:name="_Hlk195622929"/>
      <w:r>
        <w:rPr>
          <w:rStyle w:val="Hyperlink"/>
          <w:color w:val="4F81BD" w:themeColor="accent1"/>
        </w:rPr>
        <w:t>Inclure des hyperliens seulement si le site est hébergé par le gouvernement du Canada ou si un système</w:t>
      </w:r>
      <w:r w:rsidR="005B7308">
        <w:rPr>
          <w:rStyle w:val="Hyperlink"/>
          <w:color w:val="4F81BD" w:themeColor="accent1"/>
        </w:rPr>
        <w:t xml:space="preserve"> de gestion</w:t>
      </w:r>
      <w:r>
        <w:rPr>
          <w:rStyle w:val="Hyperlink"/>
          <w:color w:val="4F81BD" w:themeColor="accent1"/>
        </w:rPr>
        <w:t xml:space="preserve"> de</w:t>
      </w:r>
      <w:r w:rsidR="005B7308">
        <w:rPr>
          <w:rStyle w:val="Hyperlink"/>
          <w:color w:val="4F81BD" w:themeColor="accent1"/>
        </w:rPr>
        <w:t>s</w:t>
      </w:r>
      <w:r>
        <w:rPr>
          <w:rStyle w:val="Hyperlink"/>
          <w:color w:val="4F81BD" w:themeColor="accent1"/>
        </w:rPr>
        <w:t xml:space="preserve"> DOI est utilisé.</w:t>
      </w:r>
      <w:bookmarkEnd w:id="25"/>
      <w:r>
        <w:rPr>
          <w:rStyle w:val="Hyperlink"/>
          <w:color w:val="4F81BD" w:themeColor="accent1"/>
        </w:rPr>
        <w:t>]</w:t>
      </w:r>
      <w:bookmarkEnd w:id="26"/>
    </w:p>
    <w:p w14:paraId="00692E5E" w14:textId="58EC919F" w:rsidR="00544D75" w:rsidRPr="00051C98" w:rsidRDefault="007414B1" w:rsidP="0092747E">
      <w:pPr>
        <w:pStyle w:val="BodyText"/>
        <w:rPr>
          <w:color w:val="4F81BD" w:themeColor="accent1"/>
        </w:rPr>
      </w:pPr>
      <w:r w:rsidRPr="51AE7A7F">
        <w:rPr>
          <w:i/>
          <w:color w:val="4F81BD" w:themeColor="accent1"/>
        </w:rPr>
        <w:lastRenderedPageBreak/>
        <w:fldChar w:fldCharType="end"/>
      </w:r>
      <w:r>
        <w:rPr>
          <w:color w:val="4F81BD" w:themeColor="accent1"/>
        </w:rPr>
        <w:t>[Les références énumérées dans la section Références citées doivent être accessibles au public lorsque le rapport est publié sur le site Web. La seule exception s’applique aux livres et articles qui ont été acceptés pour publication (à l’étape de la mise en page ou s’il existe une lettre d’a</w:t>
      </w:r>
      <w:r w:rsidR="00223408">
        <w:rPr>
          <w:color w:val="4F81BD" w:themeColor="accent1"/>
        </w:rPr>
        <w:t>cceptation</w:t>
      </w:r>
      <w:r>
        <w:rPr>
          <w:color w:val="4F81BD" w:themeColor="accent1"/>
        </w:rPr>
        <w:t>). Ceux-ci peuvent être énumérés, suivis de la mention « sous presse ». Tous les autres doivent être inclus dans le texte en tant que données inédites ou documents de travail avec des notes de bas de page.]</w:t>
      </w:r>
    </w:p>
    <w:bookmarkEnd w:id="23"/>
    <w:p w14:paraId="6909A96A" w14:textId="77777777" w:rsidR="001E7B8F" w:rsidRPr="001E7B8F" w:rsidRDefault="001E7B8F" w:rsidP="00406BA1">
      <w:pPr>
        <w:pStyle w:val="Heading2"/>
        <w:rPr>
          <w:lang w:val="fr-FR"/>
        </w:rPr>
      </w:pPr>
      <w:r w:rsidRPr="001E7B8F">
        <w:rPr>
          <w:lang w:val="fr-FR"/>
        </w:rPr>
        <w:t>CE RAPPORT EST DISPONIBLE AUPRÈS DU :</w:t>
      </w:r>
    </w:p>
    <w:p w14:paraId="32B532F5" w14:textId="77777777" w:rsidR="001E7B8F" w:rsidRPr="001E7B8F" w:rsidRDefault="001E7B8F" w:rsidP="00406BA1">
      <w:pPr>
        <w:pStyle w:val="BodyTextCentered"/>
      </w:pPr>
      <w:r w:rsidRPr="001E7B8F">
        <w:t xml:space="preserve">Centre des avis scientifiques (CAS) </w:t>
      </w:r>
      <w:r w:rsidRPr="001E7B8F">
        <w:br/>
      </w:r>
      <w:r w:rsidRPr="001E7B8F">
        <w:rPr>
          <w:color w:val="4F81BD" w:themeColor="accent1"/>
        </w:rPr>
        <w:t>[Nom de la région]</w:t>
      </w:r>
      <w:r w:rsidRPr="001E7B8F">
        <w:br/>
        <w:t>Pêches et Océans Canada</w:t>
      </w:r>
      <w:r w:rsidRPr="001E7B8F">
        <w:br/>
      </w:r>
      <w:r w:rsidRPr="001E7B8F">
        <w:rPr>
          <w:color w:val="4F81BD" w:themeColor="accent1"/>
        </w:rPr>
        <w:t>[Adresse postale complète du bureau régional]</w:t>
      </w:r>
    </w:p>
    <w:p w14:paraId="6C70A69C" w14:textId="77777777" w:rsidR="001E7B8F" w:rsidRPr="001E7B8F" w:rsidRDefault="001E7B8F" w:rsidP="00406BA1">
      <w:pPr>
        <w:pStyle w:val="BodyTextCentered"/>
        <w:rPr>
          <w:color w:val="0000FF"/>
          <w:u w:val="single"/>
        </w:rPr>
      </w:pPr>
      <w:r w:rsidRPr="001E7B8F">
        <w:t xml:space="preserve">Courriel : </w:t>
      </w:r>
      <w:r w:rsidRPr="001E7B8F">
        <w:rPr>
          <w:color w:val="4F81BD" w:themeColor="accent1"/>
        </w:rPr>
        <w:t>[email]</w:t>
      </w:r>
      <w:r w:rsidRPr="001E7B8F">
        <w:br/>
        <w:t xml:space="preserve">Adresse Internet : </w:t>
      </w:r>
      <w:r w:rsidRPr="001E7B8F">
        <w:fldChar w:fldCharType="begin" w:fldLock="1"/>
      </w:r>
      <w:r w:rsidRPr="001E7B8F">
        <w:instrText>HYPERLINK "http://www.dfo-mpo.gc.ca/csas-sccs/" \o "Pêches et Océans Canada / Secrétariat canadien de consultation scientifique"</w:instrText>
      </w:r>
      <w:r w:rsidRPr="001E7B8F">
        <w:fldChar w:fldCharType="separate"/>
      </w:r>
      <w:r w:rsidRPr="001E7B8F">
        <w:rPr>
          <w:color w:val="0000FF"/>
          <w:u w:val="single"/>
        </w:rPr>
        <w:t>www.dfo-mpo.gc.ca/csas-sccs/</w:t>
      </w:r>
    </w:p>
    <w:p w14:paraId="38B4A50F" w14:textId="77777777" w:rsidR="001E7B8F" w:rsidRPr="001E7B8F" w:rsidRDefault="001E7B8F" w:rsidP="00406BA1">
      <w:pPr>
        <w:pStyle w:val="BodyTextCentered"/>
      </w:pPr>
      <w:r w:rsidRPr="001E7B8F">
        <w:fldChar w:fldCharType="end"/>
      </w:r>
      <w:r w:rsidRPr="001E7B8F">
        <w:rPr>
          <w:lang w:val="en-US"/>
        </w:rPr>
        <w:t>ISSN 1919-5117</w:t>
      </w:r>
      <w:r w:rsidRPr="001E7B8F">
        <w:rPr>
          <w:lang w:val="en-US"/>
        </w:rPr>
        <w:br/>
        <w:t>ISBN 978-0-660-</w:t>
      </w:r>
      <w:r w:rsidRPr="001E7B8F">
        <w:rPr>
          <w:color w:val="4F81BD" w:themeColor="accent1"/>
          <w:lang w:val="en-US"/>
        </w:rPr>
        <w:t>xxxxx-x</w:t>
      </w:r>
      <w:r w:rsidRPr="001E7B8F">
        <w:rPr>
          <w:lang w:val="en-US"/>
        </w:rPr>
        <w:tab/>
        <w:t xml:space="preserve">N° cat. </w:t>
      </w:r>
      <w:r w:rsidRPr="001E7B8F">
        <w:t>Fs70-6/2025-</w:t>
      </w:r>
      <w:r w:rsidRPr="001E7B8F">
        <w:rPr>
          <w:color w:val="4F81BD" w:themeColor="accent1"/>
        </w:rPr>
        <w:t>nnn</w:t>
      </w:r>
      <w:r w:rsidRPr="001E7B8F">
        <w:t>F-PDF</w:t>
      </w:r>
      <w:r w:rsidRPr="001E7B8F">
        <w:br/>
        <w:t>© Sa Majesté le Roi du chef du Canada, représenté par le ministre du</w:t>
      </w:r>
      <w:r w:rsidRPr="001E7B8F">
        <w:br/>
        <w:t>ministère des Pêches et des Océans, 2025</w:t>
      </w:r>
    </w:p>
    <w:p w14:paraId="052D09FE" w14:textId="77777777" w:rsidR="001E7B8F" w:rsidRPr="001E7B8F" w:rsidRDefault="001E7B8F" w:rsidP="00406BA1">
      <w:pPr>
        <w:pStyle w:val="BodyTextCentered"/>
      </w:pPr>
      <w:r w:rsidRPr="001E7B8F">
        <w:t xml:space="preserve">Ce rapport est publié sous la </w:t>
      </w:r>
      <w:hyperlink r:id="rId13" w:history="1">
        <w:r w:rsidRPr="001E7B8F">
          <w:rPr>
            <w:color w:val="0000FF"/>
            <w:u w:val="single"/>
          </w:rPr>
          <w:t>Licence du gouvernement ouvert – Canada</w:t>
        </w:r>
      </w:hyperlink>
    </w:p>
    <w:p w14:paraId="2BE50B13" w14:textId="77777777" w:rsidR="001E7B8F" w:rsidRPr="001E7B8F" w:rsidRDefault="001E7B8F" w:rsidP="001E7B8F">
      <w:pPr>
        <w:spacing w:before="120" w:after="120"/>
        <w:jc w:val="center"/>
      </w:pPr>
      <w:r w:rsidRPr="001E7B8F">
        <w:rPr>
          <w:noProof/>
          <w:lang w:val="en-US"/>
        </w:rPr>
        <w:drawing>
          <wp:inline distT="0" distB="0" distL="0" distR="0" wp14:anchorId="2657F6C3" wp14:editId="17A25E53">
            <wp:extent cx="476250" cy="476250"/>
            <wp:effectExtent l="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0CE69B6B" w14:textId="77777777" w:rsidR="001E7B8F" w:rsidRPr="001E7B8F" w:rsidRDefault="001E7B8F" w:rsidP="00406BA1">
      <w:pPr>
        <w:pStyle w:val="BodyText"/>
        <w:rPr>
          <w:lang w:val="fr-FR"/>
        </w:rPr>
      </w:pPr>
      <w:r w:rsidRPr="001E7B8F">
        <w:rPr>
          <w:lang w:val="fr-FR"/>
        </w:rPr>
        <w:t>La présente publication doit être citée comme suit :</w:t>
      </w:r>
    </w:p>
    <w:p w14:paraId="05E4FE3D" w14:textId="77777777" w:rsidR="001E7B8F" w:rsidRPr="001E7B8F" w:rsidRDefault="001E7B8F" w:rsidP="00406BA1">
      <w:pPr>
        <w:pStyle w:val="citation"/>
        <w:rPr>
          <w:lang w:val="en-CA"/>
        </w:rPr>
      </w:pPr>
      <w:r w:rsidRPr="001E7B8F">
        <w:rPr>
          <w:lang w:val="fr-FR"/>
        </w:rPr>
        <w:t xml:space="preserve">MPO. 2025. </w:t>
      </w:r>
      <w:r w:rsidRPr="001E7B8F">
        <w:rPr>
          <w:color w:val="4F81BD" w:themeColor="accent1"/>
          <w:lang w:val="fr-FR"/>
        </w:rPr>
        <w:t>[Titre, mais en lettres minuscules]</w:t>
      </w:r>
      <w:r w:rsidRPr="001E7B8F">
        <w:rPr>
          <w:lang w:val="fr-FR"/>
        </w:rPr>
        <w:t xml:space="preserve">. </w:t>
      </w:r>
      <w:proofErr w:type="spellStart"/>
      <w:r w:rsidRPr="001E7B8F">
        <w:rPr>
          <w:lang w:val="fr-FR"/>
        </w:rPr>
        <w:t>Secr</w:t>
      </w:r>
      <w:proofErr w:type="spellEnd"/>
      <w:r w:rsidRPr="001E7B8F">
        <w:rPr>
          <w:lang w:val="fr-FR"/>
        </w:rPr>
        <w:t xml:space="preserve">. can. des avis </w:t>
      </w:r>
      <w:proofErr w:type="spellStart"/>
      <w:r w:rsidRPr="001E7B8F">
        <w:rPr>
          <w:lang w:val="fr-FR"/>
        </w:rPr>
        <w:t>sci</w:t>
      </w:r>
      <w:proofErr w:type="spellEnd"/>
      <w:r w:rsidRPr="001E7B8F">
        <w:rPr>
          <w:lang w:val="fr-FR"/>
        </w:rPr>
        <w:t xml:space="preserve">. du MPO. </w:t>
      </w:r>
      <w:r w:rsidRPr="001E7B8F">
        <w:rPr>
          <w:lang w:val="en-US"/>
        </w:rPr>
        <w:t>Avis sci. 2025/</w:t>
      </w:r>
      <w:proofErr w:type="spellStart"/>
      <w:r w:rsidRPr="001E7B8F">
        <w:rPr>
          <w:color w:val="4F81BD" w:themeColor="accent1"/>
          <w:lang w:val="en-US"/>
        </w:rPr>
        <w:t>nnn</w:t>
      </w:r>
      <w:proofErr w:type="spellEnd"/>
      <w:r w:rsidRPr="001E7B8F">
        <w:rPr>
          <w:lang w:val="en-US"/>
        </w:rPr>
        <w:t xml:space="preserve">. </w:t>
      </w:r>
    </w:p>
    <w:p w14:paraId="3CFA1DA3" w14:textId="77777777" w:rsidR="001E7B8F" w:rsidRPr="001E7B8F" w:rsidRDefault="001E7B8F" w:rsidP="00406BA1">
      <w:pPr>
        <w:pStyle w:val="BodyTextItalic"/>
        <w:rPr>
          <w:lang w:val="en-CA"/>
        </w:rPr>
      </w:pPr>
      <w:r w:rsidRPr="001E7B8F">
        <w:rPr>
          <w:lang w:val="en-CA"/>
        </w:rPr>
        <w:t>Also available in English:</w:t>
      </w:r>
    </w:p>
    <w:p w14:paraId="624FC7E3" w14:textId="77777777" w:rsidR="001E7B8F" w:rsidRDefault="001E7B8F" w:rsidP="00406BA1">
      <w:pPr>
        <w:pStyle w:val="citation-translated"/>
        <w:rPr>
          <w:lang w:val="fr-FR"/>
        </w:rPr>
      </w:pPr>
      <w:r w:rsidRPr="001E7B8F">
        <w:rPr>
          <w:lang w:val="en-CA"/>
        </w:rPr>
        <w:t xml:space="preserve">DFO. 2025. </w:t>
      </w:r>
      <w:r w:rsidRPr="001E7B8F">
        <w:rPr>
          <w:color w:val="4F81BD" w:themeColor="accent1"/>
          <w:lang w:val="en-CA"/>
        </w:rPr>
        <w:t>[Title, but in title case]</w:t>
      </w:r>
      <w:r w:rsidRPr="001E7B8F">
        <w:rPr>
          <w:lang w:val="en-CA"/>
        </w:rPr>
        <w:t xml:space="preserve">. </w:t>
      </w:r>
      <w:r w:rsidRPr="001E7B8F">
        <w:rPr>
          <w:lang w:val="en-US"/>
        </w:rPr>
        <w:t xml:space="preserve">DFO Can. Sci. </w:t>
      </w:r>
      <w:proofErr w:type="spellStart"/>
      <w:r w:rsidRPr="001E7B8F">
        <w:rPr>
          <w:lang w:val="en-US"/>
        </w:rPr>
        <w:t>Advis</w:t>
      </w:r>
      <w:proofErr w:type="spellEnd"/>
      <w:r w:rsidRPr="001E7B8F">
        <w:rPr>
          <w:lang w:val="en-US"/>
        </w:rPr>
        <w:t xml:space="preserve">. Sec. Sci. </w:t>
      </w:r>
      <w:proofErr w:type="spellStart"/>
      <w:r w:rsidRPr="001E7B8F">
        <w:rPr>
          <w:lang w:val="fr-FR"/>
        </w:rPr>
        <w:t>Advis</w:t>
      </w:r>
      <w:proofErr w:type="spellEnd"/>
      <w:r w:rsidRPr="001E7B8F">
        <w:rPr>
          <w:lang w:val="fr-FR"/>
        </w:rPr>
        <w:t>. Rep. 2025/</w:t>
      </w:r>
      <w:proofErr w:type="spellStart"/>
      <w:r w:rsidRPr="001E7B8F">
        <w:rPr>
          <w:color w:val="4F81BD" w:themeColor="accent1"/>
          <w:lang w:val="fr-FR"/>
        </w:rPr>
        <w:t>nnn</w:t>
      </w:r>
      <w:proofErr w:type="spellEnd"/>
      <w:r w:rsidRPr="001E7B8F">
        <w:rPr>
          <w:lang w:val="fr-FR"/>
        </w:rPr>
        <w:t xml:space="preserve">. </w:t>
      </w:r>
    </w:p>
    <w:p w14:paraId="0C5060D0" w14:textId="77777777" w:rsidR="00406BA1" w:rsidRPr="0097270C" w:rsidRDefault="00406BA1" w:rsidP="00406BA1">
      <w:pPr>
        <w:pStyle w:val="citation-translated"/>
        <w:rPr>
          <w:lang w:val="fr-FR"/>
        </w:rPr>
      </w:pPr>
      <w:r w:rsidRPr="0097270C">
        <w:rPr>
          <w:lang w:val="fr-FR"/>
        </w:rPr>
        <w:t xml:space="preserve">Inuktitut </w:t>
      </w:r>
      <w:proofErr w:type="spellStart"/>
      <w:r w:rsidRPr="0097270C">
        <w:rPr>
          <w:lang w:val="fr-FR"/>
        </w:rPr>
        <w:t>Atuinnaummijuq</w:t>
      </w:r>
      <w:proofErr w:type="spellEnd"/>
      <w:r w:rsidRPr="0097270C">
        <w:rPr>
          <w:lang w:val="fr-FR"/>
        </w:rPr>
        <w:t xml:space="preserve"> : (Le cas échéant)</w:t>
      </w:r>
    </w:p>
    <w:p w14:paraId="029EC57D" w14:textId="77777777" w:rsidR="00406BA1" w:rsidRPr="00B64BD3" w:rsidRDefault="00406BA1" w:rsidP="00406BA1">
      <w:pPr>
        <w:pStyle w:val="citation-translated"/>
        <w:rPr>
          <w:color w:val="4F81BD" w:themeColor="accent1"/>
          <w:lang w:val="fr-FR"/>
        </w:rPr>
      </w:pPr>
      <w:r w:rsidRPr="00B64BD3">
        <w:rPr>
          <w:color w:val="4F81BD" w:themeColor="accent1"/>
          <w:lang w:val="fr-FR"/>
        </w:rPr>
        <w:t>Copiez et collez la citation en Inuktitut ici.</w:t>
      </w:r>
    </w:p>
    <w:p w14:paraId="29B428DB" w14:textId="77777777" w:rsidR="001E7B8F" w:rsidRPr="001E7B8F" w:rsidRDefault="001E7B8F" w:rsidP="00406BA1">
      <w:pPr>
        <w:pStyle w:val="BodyText"/>
      </w:pPr>
      <w:r w:rsidRPr="001E7B8F">
        <w:br w:type="page"/>
      </w:r>
      <w:r w:rsidRPr="001E7B8F">
        <w:lastRenderedPageBreak/>
        <w:t>TROUSSE D'OUTILS</w:t>
      </w:r>
    </w:p>
    <w:p w14:paraId="7F9027C8" w14:textId="77777777" w:rsidR="001E7B8F" w:rsidRPr="001E7B8F" w:rsidRDefault="001E7B8F" w:rsidP="001E7B8F">
      <w:pPr>
        <w:spacing w:before="120" w:after="120"/>
        <w:rPr>
          <w:color w:val="0070C0"/>
        </w:rPr>
      </w:pPr>
      <w:bookmarkStart w:id="27" w:name="_Toc436400532"/>
      <w:r w:rsidRPr="001E7B8F">
        <w:rPr>
          <w:color w:val="0070C0"/>
        </w:rPr>
        <w:t xml:space="preserve">Veuillez aussi consulter la liste de vérification dans la </w:t>
      </w:r>
      <w:hyperlink r:id="rId15" w:history="1">
        <w:r w:rsidRPr="001E7B8F">
          <w:rPr>
            <w:color w:val="0070C0"/>
            <w:u w:val="single"/>
          </w:rPr>
          <w:t>Trousse des publications du SCAS</w:t>
        </w:r>
      </w:hyperlink>
      <w:r w:rsidRPr="001E7B8F">
        <w:rPr>
          <w:color w:val="0070C0"/>
        </w:rPr>
        <w:t xml:space="preserve"> sur le </w:t>
      </w:r>
      <w:hyperlink r:id="rId16" w:history="1">
        <w:r w:rsidRPr="001E7B8F">
          <w:rPr>
            <w:color w:val="0070C0"/>
            <w:u w:val="single"/>
          </w:rPr>
          <w:t xml:space="preserve">site </w:t>
        </w:r>
        <w:proofErr w:type="spellStart"/>
        <w:r w:rsidRPr="001E7B8F">
          <w:rPr>
            <w:color w:val="0070C0"/>
            <w:u w:val="single"/>
          </w:rPr>
          <w:t>Sharepoint</w:t>
        </w:r>
        <w:proofErr w:type="spellEnd"/>
        <w:r w:rsidRPr="001E7B8F">
          <w:rPr>
            <w:color w:val="0070C0"/>
            <w:u w:val="single"/>
          </w:rPr>
          <w:t xml:space="preserve"> du SCAS</w:t>
        </w:r>
      </w:hyperlink>
      <w:r w:rsidRPr="001E7B8F">
        <w:rPr>
          <w:color w:val="0070C0"/>
        </w:rPr>
        <w:t>.</w:t>
      </w:r>
    </w:p>
    <w:p w14:paraId="585315C5" w14:textId="77777777" w:rsidR="001E7B8F" w:rsidRPr="001E7B8F" w:rsidRDefault="001E7B8F" w:rsidP="001E7B8F">
      <w:pPr>
        <w:keepNext/>
        <w:spacing w:before="240" w:after="120"/>
        <w:jc w:val="center"/>
        <w:outlineLvl w:val="0"/>
        <w:rPr>
          <w:b/>
          <w:caps/>
          <w:color w:val="0070C0"/>
          <w:sz w:val="32"/>
          <w:szCs w:val="24"/>
        </w:rPr>
      </w:pPr>
      <w:r w:rsidRPr="001E7B8F">
        <w:rPr>
          <w:b/>
          <w:caps/>
          <w:color w:val="0070C0"/>
          <w:sz w:val="32"/>
          <w:szCs w:val="24"/>
        </w:rPr>
        <w:t>LES EXIGENCES EN MATIÈRE DE MISE EN PAGE (FORMATAGE ET STYLES)</w:t>
      </w:r>
      <w:bookmarkEnd w:id="27"/>
    </w:p>
    <w:p w14:paraId="067718FC" w14:textId="77777777" w:rsidR="001E7B8F" w:rsidRPr="001E7B8F" w:rsidRDefault="001E7B8F" w:rsidP="001E7B8F">
      <w:pPr>
        <w:keepNext/>
        <w:spacing w:before="240" w:after="120"/>
        <w:jc w:val="center"/>
        <w:outlineLvl w:val="1"/>
        <w:rPr>
          <w:rFonts w:eastAsiaTheme="minorHAnsi"/>
          <w:b/>
          <w:bCs/>
          <w:caps/>
          <w:color w:val="0070C0"/>
          <w:sz w:val="28"/>
          <w:lang w:val="fr-FR"/>
        </w:rPr>
      </w:pPr>
      <w:bookmarkStart w:id="28" w:name="_Toc436400534"/>
      <w:r w:rsidRPr="001E7B8F">
        <w:rPr>
          <w:rFonts w:eastAsiaTheme="minorHAnsi"/>
          <w:b/>
          <w:bCs/>
          <w:caps/>
          <w:color w:val="0070C0"/>
          <w:sz w:val="28"/>
          <w:lang w:val="fr-FR"/>
        </w:rPr>
        <w:t>TITRE 2 : ARIAL, TAILLE 14, GRAS, ALIGNÉ À GAUCHE, TOUT EN MAJUSCULES, ESPACEMENT DES PARAGRAPHES 12 PT (0.17 IN, 0.42 CM) AVANT ET 6 PT (0.08 IN, 0.21 CM) APRÈS</w:t>
      </w:r>
      <w:bookmarkEnd w:id="28"/>
    </w:p>
    <w:p w14:paraId="22063D09" w14:textId="77777777" w:rsidR="001E7B8F" w:rsidRPr="001E7B8F" w:rsidRDefault="001E7B8F" w:rsidP="001E7B8F">
      <w:pPr>
        <w:keepNext/>
        <w:spacing w:before="240" w:after="120"/>
        <w:contextualSpacing/>
        <w:outlineLvl w:val="2"/>
        <w:rPr>
          <w:rFonts w:eastAsiaTheme="minorHAnsi" w:cs="Arial"/>
          <w:b/>
          <w:bCs/>
          <w:color w:val="0070C0"/>
          <w:sz w:val="24"/>
          <w:szCs w:val="24"/>
          <w:lang w:val="fr-FR"/>
        </w:rPr>
      </w:pPr>
      <w:bookmarkStart w:id="29" w:name="_Toc436400535"/>
      <w:r w:rsidRPr="001E7B8F">
        <w:rPr>
          <w:rFonts w:eastAsiaTheme="minorHAnsi" w:cs="Arial"/>
          <w:b/>
          <w:bCs/>
          <w:color w:val="0070C0"/>
          <w:sz w:val="24"/>
          <w:szCs w:val="24"/>
          <w:lang w:val="fr-FR"/>
        </w:rPr>
        <w:t>Titre 3 : Arial, 12, gras, aligné à gauche, espacement des paragraphes 12 pt (0.17 in, 0.42 cm) avant et 6 pt (0.08 in, 0.21 cm) après.</w:t>
      </w:r>
      <w:bookmarkEnd w:id="29"/>
    </w:p>
    <w:p w14:paraId="646052AA" w14:textId="77777777" w:rsidR="001E7B8F" w:rsidRPr="001E7B8F" w:rsidRDefault="001E7B8F" w:rsidP="001E7B8F">
      <w:pPr>
        <w:keepNext/>
        <w:spacing w:before="120" w:after="120"/>
        <w:ind w:left="360"/>
        <w:outlineLvl w:val="3"/>
        <w:rPr>
          <w:b/>
          <w:bCs/>
          <w:color w:val="0070C0"/>
          <w:szCs w:val="28"/>
          <w:lang w:val="fr-FR"/>
        </w:rPr>
      </w:pPr>
      <w:r w:rsidRPr="001E7B8F">
        <w:rPr>
          <w:b/>
          <w:bCs/>
          <w:color w:val="0070C0"/>
          <w:szCs w:val="28"/>
          <w:lang w:val="fr-FR"/>
        </w:rPr>
        <w:t>Titre 4 : Arial, 11, gras, aligné à gauche, retrait à gauche 18 pt (0,25 in, 0,63 cm), espacement de paragraphe 6 pt (0,08 in, 0,21 cm) avant et après.</w:t>
      </w:r>
    </w:p>
    <w:p w14:paraId="5E504023" w14:textId="77777777" w:rsidR="001E7B8F" w:rsidRPr="001E7B8F" w:rsidRDefault="001E7B8F" w:rsidP="001E7B8F">
      <w:pPr>
        <w:spacing w:before="120" w:after="120"/>
        <w:rPr>
          <w:color w:val="0070C0"/>
          <w:lang w:val="fr-FR"/>
        </w:rPr>
      </w:pPr>
      <w:r w:rsidRPr="001E7B8F">
        <w:rPr>
          <w:color w:val="0070C0"/>
          <w:lang w:val="fr-FR"/>
        </w:rPr>
        <w:t>Corps du texte : Arial, taille 11, aligné à gauche, espacement des paragraphes de 6 pt (0,08 in, 0,21 cm) avant et après.</w:t>
      </w:r>
    </w:p>
    <w:p w14:paraId="47B96CA2" w14:textId="77777777" w:rsidR="001E7B8F" w:rsidRPr="001E7B8F" w:rsidRDefault="001E7B8F" w:rsidP="001E7B8F">
      <w:pPr>
        <w:numPr>
          <w:ilvl w:val="0"/>
          <w:numId w:val="1"/>
        </w:numPr>
        <w:spacing w:after="120"/>
        <w:rPr>
          <w:color w:val="0070C0"/>
          <w:lang w:val="fr-FR"/>
        </w:rPr>
      </w:pPr>
      <w:r w:rsidRPr="001E7B8F">
        <w:rPr>
          <w:color w:val="0070C0"/>
          <w:lang w:val="fr-FR"/>
        </w:rPr>
        <w:t>Liste Bullet : Arial, taille 11, aligné à gauche, retrait suspendu de 18 pt (0,25 in, 0,63 cm), espacement de paragraphe de 0 pt avant et 6 pt (0,08 in, 0,21 cm) après.</w:t>
      </w:r>
    </w:p>
    <w:p w14:paraId="2F896E9A" w14:textId="77777777" w:rsidR="001E7B8F" w:rsidRPr="001E7B8F" w:rsidRDefault="001E7B8F" w:rsidP="001E7B8F">
      <w:pPr>
        <w:numPr>
          <w:ilvl w:val="0"/>
          <w:numId w:val="2"/>
        </w:numPr>
        <w:tabs>
          <w:tab w:val="num" w:pos="360"/>
        </w:tabs>
        <w:spacing w:after="120"/>
        <w:ind w:left="720"/>
        <w:contextualSpacing/>
        <w:rPr>
          <w:color w:val="0070C0"/>
          <w:lang w:val="fr-FR"/>
        </w:rPr>
      </w:pPr>
      <w:r w:rsidRPr="001E7B8F">
        <w:rPr>
          <w:color w:val="0070C0"/>
          <w:lang w:val="fr-FR"/>
        </w:rPr>
        <w:t>Liste Puce 2 : Arial, taille 11, aligné à gauche, retrait gauche 18 pt (0,25 in, 0,64 cm), retrait suspendu 18 pt (0,25 in, 0,63 cm), espacement de paragraphe 0 pt avant et 6 pt (0,08 in, 0,21 cm) après.</w:t>
      </w:r>
    </w:p>
    <w:p w14:paraId="4664C510" w14:textId="77777777" w:rsidR="001E7B8F" w:rsidRPr="001E7B8F" w:rsidRDefault="001E7B8F" w:rsidP="001E7B8F">
      <w:pPr>
        <w:spacing w:before="120" w:after="120"/>
        <w:rPr>
          <w:color w:val="0070C0"/>
          <w:lang w:val="fr-FR"/>
        </w:rPr>
      </w:pPr>
      <w:r w:rsidRPr="001E7B8F">
        <w:rPr>
          <w:color w:val="0070C0"/>
          <w:lang w:val="fr-FR"/>
        </w:rPr>
        <w:t>Exemples de numéros de liste :</w:t>
      </w:r>
    </w:p>
    <w:p w14:paraId="22E8DCB8" w14:textId="77777777" w:rsidR="001E7B8F" w:rsidRPr="001E7B8F" w:rsidRDefault="001E7B8F" w:rsidP="001E7B8F">
      <w:pPr>
        <w:numPr>
          <w:ilvl w:val="0"/>
          <w:numId w:val="3"/>
        </w:numPr>
        <w:spacing w:after="120"/>
        <w:rPr>
          <w:color w:val="0070C0"/>
          <w:lang w:val="fr-FR"/>
        </w:rPr>
      </w:pPr>
      <w:r w:rsidRPr="001E7B8F">
        <w:rPr>
          <w:color w:val="0070C0"/>
          <w:lang w:val="fr-FR"/>
        </w:rPr>
        <w:t>Numéro de liste : Arial, taille 11, aligné à gauche, style de numérotation : 1, 2, 3, retrait suspendu 18 pt (0,25 in, 0,63 cm), espacement des paragraphes 0 pt avant et 6 pt (0,08 in, 0,21 cm) après.</w:t>
      </w:r>
    </w:p>
    <w:p w14:paraId="5A683384" w14:textId="77777777" w:rsidR="001E7B8F" w:rsidRPr="001E7B8F" w:rsidRDefault="001E7B8F" w:rsidP="001E7B8F">
      <w:pPr>
        <w:numPr>
          <w:ilvl w:val="0"/>
          <w:numId w:val="3"/>
        </w:numPr>
        <w:spacing w:after="120"/>
        <w:rPr>
          <w:color w:val="0070C0"/>
          <w:lang w:val="en-US"/>
        </w:rPr>
      </w:pPr>
      <w:proofErr w:type="spellStart"/>
      <w:r w:rsidRPr="001E7B8F">
        <w:rPr>
          <w:color w:val="0070C0"/>
          <w:lang w:val="en-US"/>
        </w:rPr>
        <w:t>Numéro</w:t>
      </w:r>
      <w:proofErr w:type="spellEnd"/>
      <w:r w:rsidRPr="001E7B8F">
        <w:rPr>
          <w:color w:val="0070C0"/>
          <w:lang w:val="en-US"/>
        </w:rPr>
        <w:t xml:space="preserve"> de </w:t>
      </w:r>
      <w:proofErr w:type="spellStart"/>
      <w:r w:rsidRPr="001E7B8F">
        <w:rPr>
          <w:color w:val="0070C0"/>
          <w:lang w:val="en-US"/>
        </w:rPr>
        <w:t>liste</w:t>
      </w:r>
      <w:proofErr w:type="spellEnd"/>
    </w:p>
    <w:p w14:paraId="6A8D4364" w14:textId="77777777" w:rsidR="001E7B8F" w:rsidRPr="001E7B8F" w:rsidRDefault="001E7B8F" w:rsidP="001E7B8F">
      <w:pPr>
        <w:numPr>
          <w:ilvl w:val="0"/>
          <w:numId w:val="4"/>
        </w:numPr>
        <w:spacing w:after="120"/>
        <w:ind w:left="720"/>
        <w:rPr>
          <w:color w:val="0070C0"/>
          <w:lang w:val="fr-FR"/>
        </w:rPr>
      </w:pPr>
      <w:r w:rsidRPr="001E7B8F">
        <w:rPr>
          <w:color w:val="0070C0"/>
          <w:lang w:val="fr-FR"/>
        </w:rPr>
        <w:t>Liste numéro 2 : Arial, taille 11, aligné à gauche, style de numérotation : a, b, c, retrait à gauche 18 pt (0,25 in, 0,63 cm), retrait suspendu 18 pt (0,25 in, 0,63 cm), espacement des paragraphes 0 pt avant et 6 pt (0,08 in, 0,21 cm) après.</w:t>
      </w:r>
    </w:p>
    <w:p w14:paraId="485F3782" w14:textId="77777777" w:rsidR="001E7B8F" w:rsidRPr="001E7B8F" w:rsidRDefault="001E7B8F" w:rsidP="001E7B8F">
      <w:pPr>
        <w:numPr>
          <w:ilvl w:val="0"/>
          <w:numId w:val="4"/>
        </w:numPr>
        <w:spacing w:after="120"/>
        <w:ind w:left="720"/>
        <w:rPr>
          <w:color w:val="0070C0"/>
          <w:lang w:val="en-US"/>
        </w:rPr>
      </w:pPr>
      <w:proofErr w:type="spellStart"/>
      <w:r w:rsidRPr="001E7B8F">
        <w:rPr>
          <w:color w:val="0070C0"/>
          <w:lang w:val="en-US"/>
        </w:rPr>
        <w:t>Liste</w:t>
      </w:r>
      <w:proofErr w:type="spellEnd"/>
      <w:r w:rsidRPr="001E7B8F">
        <w:rPr>
          <w:color w:val="0070C0"/>
          <w:lang w:val="en-US"/>
        </w:rPr>
        <w:t xml:space="preserve"> </w:t>
      </w:r>
      <w:proofErr w:type="spellStart"/>
      <w:r w:rsidRPr="001E7B8F">
        <w:rPr>
          <w:color w:val="0070C0"/>
          <w:lang w:val="en-US"/>
        </w:rPr>
        <w:t>numéro</w:t>
      </w:r>
      <w:proofErr w:type="spellEnd"/>
      <w:r w:rsidRPr="001E7B8F">
        <w:rPr>
          <w:color w:val="0070C0"/>
          <w:lang w:val="en-US"/>
        </w:rPr>
        <w:t xml:space="preserve"> 2</w:t>
      </w:r>
    </w:p>
    <w:p w14:paraId="07E14A73" w14:textId="77777777" w:rsidR="001E7B8F" w:rsidRPr="001E7B8F" w:rsidRDefault="001E7B8F" w:rsidP="001E7B8F">
      <w:pPr>
        <w:keepNext/>
        <w:keepLines/>
        <w:spacing w:before="240" w:after="120"/>
        <w:rPr>
          <w:i/>
          <w:color w:val="0070C0"/>
          <w:sz w:val="20"/>
          <w:lang w:val="fr-FR"/>
        </w:rPr>
      </w:pPr>
      <w:r w:rsidRPr="001E7B8F">
        <w:rPr>
          <w:i/>
          <w:color w:val="0070C0"/>
          <w:sz w:val="20"/>
          <w:lang w:val="fr-FR"/>
        </w:rPr>
        <w:t>Légende - Tableau : Arial, taille 10, italique, aligné à gauche, espacement des paragraphes 12 pt (0,17 in, 0,42 cm) avant et 6 pt (0,08 in, 0,21 cm) après, garder avec le paragraphe suivant, garder avec le paragraphe suivant, garder les lignes ensemble. La légende du tableau est placée au-dessus du tableau.</w:t>
      </w:r>
    </w:p>
    <w:p w14:paraId="68F1D78B" w14:textId="77777777" w:rsidR="001E7B8F" w:rsidRPr="001E7B8F" w:rsidRDefault="001E7B8F" w:rsidP="001E7B8F">
      <w:pPr>
        <w:keepLines/>
        <w:spacing w:before="120" w:after="240"/>
        <w:rPr>
          <w:i/>
          <w:color w:val="0070C0"/>
          <w:sz w:val="20"/>
          <w:lang w:val="fr-FR"/>
        </w:rPr>
      </w:pPr>
      <w:r w:rsidRPr="001E7B8F">
        <w:rPr>
          <w:i/>
          <w:color w:val="0070C0"/>
          <w:sz w:val="20"/>
          <w:lang w:val="fr-FR"/>
        </w:rPr>
        <w:t>Légende - Figure : Arial, taille 10, italique, aligné à gauche, espacement des paragraphes 6 pt (0,08 in, 0,21 cm) avant et 12 pt (0,17 in, 0,42 cm) après, garder les lignes ensemble. La légende de la figure est placée sous la figure.</w:t>
      </w:r>
    </w:p>
    <w:p w14:paraId="20E6F16D" w14:textId="77777777" w:rsidR="001E7B8F" w:rsidRPr="001E7B8F" w:rsidRDefault="001E7B8F" w:rsidP="001E7B8F">
      <w:pPr>
        <w:keepLines/>
        <w:spacing w:before="120" w:after="120"/>
        <w:ind w:left="360" w:hanging="360"/>
        <w:rPr>
          <w:color w:val="0070C0"/>
          <w:szCs w:val="22"/>
          <w:lang w:val="fr-FR"/>
        </w:rPr>
      </w:pPr>
      <w:r w:rsidRPr="001E7B8F">
        <w:rPr>
          <w:color w:val="0070C0"/>
          <w:szCs w:val="22"/>
          <w:lang w:val="fr-FR"/>
        </w:rPr>
        <w:t>citation : Arial, taille 11, aligné à gauche, retrait suspendu de 18 pt (0,25 in, 0,63 cm), espacement de paragraphe de 6 pt (0,08 in, 0,21 cm) avant et après, garder les lignes ensemble.</w:t>
      </w:r>
    </w:p>
    <w:p w14:paraId="56C894B9" w14:textId="77777777" w:rsidR="001E7B8F" w:rsidRPr="001E7B8F" w:rsidRDefault="001E7B8F" w:rsidP="001E7B8F">
      <w:pPr>
        <w:spacing w:before="120" w:after="120"/>
        <w:ind w:left="720"/>
        <w:rPr>
          <w:color w:val="0070C0"/>
          <w:lang w:val="fr-FR"/>
        </w:rPr>
      </w:pPr>
      <w:proofErr w:type="spellStart"/>
      <w:r w:rsidRPr="001E7B8F">
        <w:rPr>
          <w:color w:val="0070C0"/>
          <w:lang w:val="fr-FR"/>
        </w:rPr>
        <w:t>Blockquote</w:t>
      </w:r>
      <w:proofErr w:type="spellEnd"/>
      <w:r w:rsidRPr="001E7B8F">
        <w:rPr>
          <w:color w:val="0070C0"/>
          <w:lang w:val="fr-FR"/>
        </w:rPr>
        <w:t xml:space="preserve"> : Arial, taille 11, aligné à gauche, retrait à gauche 36 pt (0,5 in, 1,27 cm), espacement de paragraphe 6 pt (0,08 in, 0,21 cm) avant et après.</w:t>
      </w:r>
    </w:p>
    <w:p w14:paraId="67FE6AE6" w14:textId="77777777" w:rsidR="001E7B8F" w:rsidRPr="001E7B8F" w:rsidRDefault="001E7B8F" w:rsidP="001E7B8F">
      <w:pPr>
        <w:keepNext/>
        <w:spacing w:before="240" w:after="120"/>
        <w:jc w:val="center"/>
        <w:outlineLvl w:val="1"/>
        <w:rPr>
          <w:rFonts w:eastAsiaTheme="minorHAnsi"/>
          <w:b/>
          <w:bCs/>
          <w:caps/>
          <w:color w:val="0070C0"/>
          <w:sz w:val="28"/>
          <w:lang w:val="fr-FR"/>
        </w:rPr>
      </w:pPr>
      <w:r w:rsidRPr="001E7B8F">
        <w:rPr>
          <w:rFonts w:ascii="Calibri" w:eastAsiaTheme="minorHAnsi" w:hAnsi="Calibri"/>
          <w:b/>
          <w:bCs/>
          <w:color w:val="0070C0"/>
          <w:sz w:val="28"/>
          <w:lang w:val="fr-FR"/>
        </w:rPr>
        <w:lastRenderedPageBreak/>
        <w:t>TOUTES LES SECTIONS OBLIGATOIRES SONT INCLUSES ET ÉNUMÉRÉES DANS LE BON ORDRE</w:t>
      </w:r>
    </w:p>
    <w:sectPr w:rsidR="001E7B8F" w:rsidRPr="001E7B8F" w:rsidSect="00196A8C">
      <w:headerReference w:type="default"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CE9D" w14:textId="77777777" w:rsidR="00B333AC" w:rsidRDefault="00B333AC">
      <w:r>
        <w:separator/>
      </w:r>
    </w:p>
    <w:p w14:paraId="7C815464" w14:textId="77777777" w:rsidR="00B333AC" w:rsidRDefault="00B333AC"/>
    <w:p w14:paraId="088F8E19" w14:textId="77777777" w:rsidR="00B333AC" w:rsidRDefault="00B333AC"/>
    <w:p w14:paraId="064AFBAD" w14:textId="77777777" w:rsidR="00B333AC" w:rsidRDefault="00B333AC"/>
  </w:endnote>
  <w:endnote w:type="continuationSeparator" w:id="0">
    <w:p w14:paraId="4271B2F5" w14:textId="77777777" w:rsidR="00B333AC" w:rsidRDefault="00B333AC">
      <w:r>
        <w:continuationSeparator/>
      </w:r>
    </w:p>
    <w:p w14:paraId="1EEB3B85" w14:textId="77777777" w:rsidR="00B333AC" w:rsidRDefault="00B333AC"/>
    <w:p w14:paraId="415720FA" w14:textId="77777777" w:rsidR="00B333AC" w:rsidRDefault="00B333AC"/>
    <w:p w14:paraId="4698F17C" w14:textId="77777777" w:rsidR="00B333AC" w:rsidRDefault="00B333AC"/>
  </w:endnote>
  <w:endnote w:type="continuationNotice" w:id="1">
    <w:p w14:paraId="45B3D35D" w14:textId="77777777" w:rsidR="00B333AC" w:rsidRDefault="00B33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C209B4A" w:rsidR="009346E2" w:rsidRPr="00313CB3" w:rsidRDefault="009346E2" w:rsidP="00196A8C">
    <w:pPr>
      <w:pBdr>
        <w:top w:val="single" w:sz="4" w:space="1" w:color="auto"/>
      </w:pBdr>
      <w:tabs>
        <w:tab w:val="right" w:pos="9356"/>
      </w:tabs>
    </w:pPr>
    <w:r>
      <w:t>Date de publication (mois année)</w:t>
    </w:r>
    <w:r>
      <w:tab/>
    </w:r>
    <w:r w:rsidR="001E6C69">
      <w:rPr>
        <w:noProof/>
      </w:rPr>
      <w:drawing>
        <wp:inline distT="0" distB="0" distL="0" distR="0" wp14:anchorId="09F25694" wp14:editId="30F02670">
          <wp:extent cx="1299391" cy="309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deauI\Desktop\Templates&amp;Forms\canada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027" cy="3112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04AA" w14:textId="77777777" w:rsidR="00B333AC" w:rsidRDefault="00B333AC">
      <w:r>
        <w:separator/>
      </w:r>
    </w:p>
    <w:p w14:paraId="6DCDAFD8" w14:textId="77777777" w:rsidR="00B333AC" w:rsidRDefault="00B333AC"/>
    <w:p w14:paraId="06DFD341" w14:textId="77777777" w:rsidR="00B333AC" w:rsidRDefault="00B333AC"/>
  </w:footnote>
  <w:footnote w:type="continuationSeparator" w:id="0">
    <w:p w14:paraId="58C0392E" w14:textId="77777777" w:rsidR="00B333AC" w:rsidRDefault="00B333AC">
      <w:r>
        <w:continuationSeparator/>
      </w:r>
    </w:p>
    <w:p w14:paraId="615E8B86" w14:textId="77777777" w:rsidR="00B333AC" w:rsidRDefault="00B333AC"/>
    <w:p w14:paraId="031B9084" w14:textId="77777777" w:rsidR="00B333AC" w:rsidRDefault="00B333AC"/>
    <w:p w14:paraId="5383BC98" w14:textId="77777777" w:rsidR="00B333AC" w:rsidRDefault="00B333AC"/>
  </w:footnote>
  <w:footnote w:type="continuationNotice" w:id="1">
    <w:p w14:paraId="581BACE4" w14:textId="77777777" w:rsidR="00B333AC" w:rsidRDefault="00B33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2"/>
      <w:gridCol w:w="4688"/>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t>Nom de la région</w:t>
          </w:r>
        </w:p>
      </w:tc>
      <w:tc>
        <w:tcPr>
          <w:tcW w:w="4788" w:type="dxa"/>
          <w:vAlign w:val="bottom"/>
        </w:tcPr>
        <w:p w14:paraId="5C4DF0DD" w14:textId="77777777" w:rsidR="00E159E3" w:rsidRDefault="00E159E3" w:rsidP="00B63BD3">
          <w:pPr>
            <w:pStyle w:val="PageHeaderRegionsNameofthereport"/>
            <w:jc w:val="right"/>
          </w:pPr>
          <w:r>
            <w:t>Nom de l’avis scientifique</w:t>
          </w:r>
        </w:p>
      </w:tc>
    </w:tr>
  </w:tbl>
  <w:p w14:paraId="6506B67B" w14:textId="15962CE8" w:rsidR="009346E2" w:rsidRPr="00E159E3" w:rsidRDefault="009346E2" w:rsidP="00E159E3">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9F" w14:textId="77777777" w:rsidR="00DC129A" w:rsidRDefault="00DC129A" w:rsidP="00DC129A">
    <w:pPr>
      <w:tabs>
        <w:tab w:val="right" w:pos="10065"/>
      </w:tabs>
      <w:rPr>
        <w:sz w:val="21"/>
        <w:szCs w:val="21"/>
      </w:rPr>
    </w:pPr>
    <w:r>
      <w:rPr>
        <w:b/>
        <w:noProof/>
        <w:sz w:val="21"/>
        <w:szCs w:val="21"/>
      </w:rPr>
      <w:drawing>
        <wp:inline distT="0" distB="0" distL="0" distR="0" wp14:anchorId="447F7554" wp14:editId="68C4E8A9">
          <wp:extent cx="3222171" cy="54882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auI\Desktop\Templates&amp;Forms\f_eso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6046" cy="556296"/>
                  </a:xfrm>
                  <a:prstGeom prst="rect">
                    <a:avLst/>
                  </a:prstGeom>
                  <a:noFill/>
                  <a:ln>
                    <a:noFill/>
                  </a:ln>
                </pic:spPr>
              </pic:pic>
            </a:graphicData>
          </a:graphic>
        </wp:inline>
      </w:drawing>
    </w:r>
  </w:p>
  <w:p w14:paraId="5C055BD7" w14:textId="77777777" w:rsidR="00DC129A" w:rsidRPr="0044158F" w:rsidRDefault="00DC129A" w:rsidP="00DC129A">
    <w:pPr>
      <w:pStyle w:val="PagecouvertureenttedelapageSCCS"/>
      <w:rPr>
        <w:lang w:val="fr-CA"/>
      </w:rPr>
    </w:pPr>
    <w:r w:rsidRPr="005B6D43">
      <w:tab/>
    </w:r>
    <w:r w:rsidRPr="0044158F">
      <w:rPr>
        <w:lang w:val="fr-CA"/>
      </w:rPr>
      <w:t>Secrétariat canadien de</w:t>
    </w:r>
    <w:r>
      <w:rPr>
        <w:lang w:val="fr-CA"/>
      </w:rPr>
      <w:t>s avis</w:t>
    </w:r>
    <w:r w:rsidRPr="0044158F">
      <w:rPr>
        <w:lang w:val="fr-CA"/>
      </w:rPr>
      <w:t xml:space="preserve"> scientifique</w:t>
    </w:r>
    <w:r>
      <w:rPr>
        <w:lang w:val="fr-CA"/>
      </w:rPr>
      <w:t>s</w:t>
    </w:r>
  </w:p>
  <w:p w14:paraId="54A12118" w14:textId="77777777" w:rsidR="00DC129A" w:rsidRPr="0044158F" w:rsidRDefault="00DC129A" w:rsidP="00DC129A">
    <w:pPr>
      <w:pStyle w:val="Pagecouvertureenttedelapagergion"/>
      <w:rPr>
        <w:lang w:val="fr-CA"/>
      </w:rPr>
    </w:pPr>
    <w:r w:rsidRPr="0044158F">
      <w:rPr>
        <w:lang w:val="fr-CA"/>
      </w:rPr>
      <w:t>Nom de la région</w:t>
    </w:r>
    <w:r w:rsidRPr="0044158F">
      <w:rPr>
        <w:lang w:val="fr-CA"/>
      </w:rPr>
      <w:tab/>
      <w:t xml:space="preserve">Avis scientifique </w:t>
    </w:r>
    <w:r>
      <w:rPr>
        <w:lang w:val="fr-CA"/>
      </w:rPr>
      <w:t>2025</w:t>
    </w:r>
    <w:r w:rsidRPr="0044158F">
      <w:rPr>
        <w:lang w:val="fr-CA"/>
      </w:rPr>
      <w:t>/</w:t>
    </w:r>
    <w:proofErr w:type="spellStart"/>
    <w:r w:rsidRPr="0044158F">
      <w:rPr>
        <w:lang w:val="fr-CA"/>
      </w:rPr>
      <w:t>nnn</w:t>
    </w:r>
    <w:proofErr w:type="spellEnd"/>
  </w:p>
  <w:p w14:paraId="6B004C63" w14:textId="6F0B4476" w:rsidR="009346E2" w:rsidRPr="00F30853" w:rsidRDefault="001E6250" w:rsidP="001E6C69">
    <w:pPr>
      <w:rPr>
        <w:b/>
        <w:sz w:val="16"/>
        <w:szCs w:val="16"/>
      </w:rPr>
    </w:pPr>
    <w:r>
      <w:rPr>
        <w:color w:val="4F81BD" w:themeColor="accent1"/>
        <w:sz w:val="24"/>
      </w:rPr>
      <w:t xml:space="preserve">Supprimez ou remplacez le </w:t>
    </w:r>
    <w:r w:rsidR="00CF6E47">
      <w:rPr>
        <w:color w:val="4F81BD" w:themeColor="accent1"/>
        <w:sz w:val="24"/>
      </w:rPr>
      <w:t xml:space="preserve">texte </w:t>
    </w:r>
    <w:r>
      <w:rPr>
        <w:color w:val="4F81BD" w:themeColor="accent1"/>
        <w:sz w:val="24"/>
      </w:rPr>
      <w:t xml:space="preserve">en bleu par du texte en noir à mesure que vous remplissez le modèle. </w:t>
    </w:r>
    <w:r w:rsidR="00CF6E47">
      <w:rPr>
        <w:color w:val="4F81BD" w:themeColor="accent1"/>
        <w:sz w:val="24"/>
      </w:rPr>
      <w:t>Sauf indication contraire, n</w:t>
    </w:r>
    <w:r>
      <w:rPr>
        <w:color w:val="4F81BD" w:themeColor="accent1"/>
        <w:sz w:val="24"/>
      </w:rPr>
      <w:t>e</w:t>
    </w:r>
    <w:r w:rsidR="00CF6E47">
      <w:rPr>
        <w:color w:val="4F81BD" w:themeColor="accent1"/>
        <w:sz w:val="24"/>
      </w:rPr>
      <w:t xml:space="preserve"> pas</w:t>
    </w:r>
    <w:r>
      <w:rPr>
        <w:color w:val="4F81BD" w:themeColor="accent1"/>
        <w:sz w:val="24"/>
      </w:rPr>
      <w:t xml:space="preserve"> supprime</w:t>
    </w:r>
    <w:r w:rsidR="00CF6E47">
      <w:rPr>
        <w:color w:val="4F81BD" w:themeColor="accent1"/>
        <w:sz w:val="24"/>
      </w:rPr>
      <w:t>r</w:t>
    </w:r>
    <w:r>
      <w:rPr>
        <w:color w:val="4F81BD" w:themeColor="accent1"/>
        <w:sz w:val="24"/>
      </w:rPr>
      <w:t xml:space="preserve"> </w:t>
    </w:r>
    <w:r w:rsidR="00CF6E47">
      <w:rPr>
        <w:color w:val="4F81BD" w:themeColor="accent1"/>
        <w:sz w:val="24"/>
      </w:rPr>
      <w:t>et/ou</w:t>
    </w:r>
    <w:r>
      <w:rPr>
        <w:color w:val="4F81BD" w:themeColor="accent1"/>
        <w:sz w:val="24"/>
      </w:rPr>
      <w:t xml:space="preserve"> modifie</w:t>
    </w:r>
    <w:r w:rsidR="00CF6E47">
      <w:rPr>
        <w:color w:val="4F81BD" w:themeColor="accent1"/>
        <w:sz w:val="24"/>
      </w:rPr>
      <w:t>r</w:t>
    </w:r>
    <w:r>
      <w:rPr>
        <w:color w:val="4F81BD" w:themeColor="accent1"/>
        <w:sz w:val="24"/>
      </w:rPr>
      <w:t xml:space="preserve"> le texte en noir existant. Le texte en noir entre crochets doit être modifié. Consultez</w:t>
    </w:r>
    <w:r w:rsidR="00D6294C">
      <w:rPr>
        <w:color w:val="4F81BD" w:themeColor="accent1"/>
        <w:sz w:val="24"/>
      </w:rPr>
      <w:t xml:space="preserve"> le document d’orientation pour obtenir des </w:t>
    </w:r>
    <w:r>
      <w:rPr>
        <w:color w:val="4F81BD" w:themeColor="accent1"/>
        <w:sz w:val="24"/>
      </w:rPr>
      <w:t xml:space="preserve">renseignements, </w:t>
    </w:r>
    <w:r w:rsidR="00D6294C">
      <w:rPr>
        <w:color w:val="4F81BD" w:themeColor="accent1"/>
        <w:sz w:val="24"/>
      </w:rPr>
      <w:t>d</w:t>
    </w:r>
    <w:r>
      <w:rPr>
        <w:color w:val="4F81BD" w:themeColor="accent1"/>
        <w:sz w:val="24"/>
      </w:rPr>
      <w:t xml:space="preserve">es instructions et </w:t>
    </w:r>
    <w:r w:rsidR="00D6294C">
      <w:rPr>
        <w:color w:val="4F81BD" w:themeColor="accent1"/>
        <w:sz w:val="24"/>
      </w:rPr>
      <w:t>d</w:t>
    </w:r>
    <w:r>
      <w:rPr>
        <w:color w:val="4F81BD" w:themeColor="accent1"/>
        <w:sz w:val="24"/>
      </w:rPr>
      <w:t>es exemples. La longueur totale maximale est de 10 pages ou moins, avec jusqu’à deux (2) pages supplémentaires pour chaque sous-unité ou stock dans les scénarios spatialement complexes ou concernant plusieurs stocks.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8758A856"/>
    <w:lvl w:ilvl="0">
      <w:start w:val="1"/>
      <w:numFmt w:val="decimal"/>
      <w:pStyle w:val="ListNumber"/>
      <w:lvlText w:val="%1."/>
      <w:lvlJc w:val="left"/>
      <w:pPr>
        <w:tabs>
          <w:tab w:val="num" w:pos="360"/>
        </w:tabs>
        <w:ind w:left="360" w:hanging="360"/>
      </w:pPr>
      <w:rPr>
        <w:color w:val="000000" w:themeColor="text1"/>
      </w:rPr>
    </w:lvl>
  </w:abstractNum>
  <w:abstractNum w:abstractNumId="3" w15:restartNumberingAfterBreak="0">
    <w:nsid w:val="FFFFFF89"/>
    <w:multiLevelType w:val="singleLevel"/>
    <w:tmpl w:val="2C72A1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1372460716">
    <w:abstractNumId w:val="3"/>
  </w:num>
  <w:num w:numId="10" w16cid:durableId="17998350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15011"/>
    <w:rsid w:val="00020527"/>
    <w:rsid w:val="0002247C"/>
    <w:rsid w:val="0002499F"/>
    <w:rsid w:val="00025337"/>
    <w:rsid w:val="00033E28"/>
    <w:rsid w:val="000409AD"/>
    <w:rsid w:val="000412DA"/>
    <w:rsid w:val="00050B6E"/>
    <w:rsid w:val="00051C98"/>
    <w:rsid w:val="00053BE3"/>
    <w:rsid w:val="000542F2"/>
    <w:rsid w:val="0005512C"/>
    <w:rsid w:val="00055E62"/>
    <w:rsid w:val="0005774C"/>
    <w:rsid w:val="0006305C"/>
    <w:rsid w:val="0006374F"/>
    <w:rsid w:val="00064F54"/>
    <w:rsid w:val="00065268"/>
    <w:rsid w:val="00065EA7"/>
    <w:rsid w:val="000779BA"/>
    <w:rsid w:val="00082F97"/>
    <w:rsid w:val="00087206"/>
    <w:rsid w:val="00091037"/>
    <w:rsid w:val="00092016"/>
    <w:rsid w:val="00093407"/>
    <w:rsid w:val="00095E6C"/>
    <w:rsid w:val="000A59CB"/>
    <w:rsid w:val="000B1243"/>
    <w:rsid w:val="000B2C4C"/>
    <w:rsid w:val="000B3C04"/>
    <w:rsid w:val="000C4981"/>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01F31"/>
    <w:rsid w:val="00110974"/>
    <w:rsid w:val="00111C56"/>
    <w:rsid w:val="001167FB"/>
    <w:rsid w:val="001201BA"/>
    <w:rsid w:val="001206FE"/>
    <w:rsid w:val="00123250"/>
    <w:rsid w:val="00126035"/>
    <w:rsid w:val="00126A90"/>
    <w:rsid w:val="001318C9"/>
    <w:rsid w:val="0013219B"/>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2189"/>
    <w:rsid w:val="001A627D"/>
    <w:rsid w:val="001A711D"/>
    <w:rsid w:val="001B26D7"/>
    <w:rsid w:val="001C00B9"/>
    <w:rsid w:val="001C1404"/>
    <w:rsid w:val="001C416C"/>
    <w:rsid w:val="001C7FA5"/>
    <w:rsid w:val="001D13D1"/>
    <w:rsid w:val="001D2592"/>
    <w:rsid w:val="001D2B80"/>
    <w:rsid w:val="001D30C0"/>
    <w:rsid w:val="001D39C3"/>
    <w:rsid w:val="001E05AF"/>
    <w:rsid w:val="001E4A20"/>
    <w:rsid w:val="001E6250"/>
    <w:rsid w:val="001E6C69"/>
    <w:rsid w:val="001E7B8F"/>
    <w:rsid w:val="001F175C"/>
    <w:rsid w:val="001F758D"/>
    <w:rsid w:val="00201CE8"/>
    <w:rsid w:val="00202630"/>
    <w:rsid w:val="00210839"/>
    <w:rsid w:val="00211956"/>
    <w:rsid w:val="00221740"/>
    <w:rsid w:val="00223408"/>
    <w:rsid w:val="00223D64"/>
    <w:rsid w:val="00223DF9"/>
    <w:rsid w:val="00227579"/>
    <w:rsid w:val="002407E8"/>
    <w:rsid w:val="00241731"/>
    <w:rsid w:val="0024465B"/>
    <w:rsid w:val="0024540F"/>
    <w:rsid w:val="0025092E"/>
    <w:rsid w:val="002510B0"/>
    <w:rsid w:val="00253800"/>
    <w:rsid w:val="00255CDC"/>
    <w:rsid w:val="00261D7A"/>
    <w:rsid w:val="00262FE7"/>
    <w:rsid w:val="002727F9"/>
    <w:rsid w:val="00273AAC"/>
    <w:rsid w:val="002855E9"/>
    <w:rsid w:val="00285B6F"/>
    <w:rsid w:val="00286839"/>
    <w:rsid w:val="00287930"/>
    <w:rsid w:val="00287B3B"/>
    <w:rsid w:val="00287BD3"/>
    <w:rsid w:val="00294FB6"/>
    <w:rsid w:val="002A0168"/>
    <w:rsid w:val="002A0773"/>
    <w:rsid w:val="002A081F"/>
    <w:rsid w:val="002A103F"/>
    <w:rsid w:val="002A7338"/>
    <w:rsid w:val="002B14E2"/>
    <w:rsid w:val="002B1910"/>
    <w:rsid w:val="002B1DA7"/>
    <w:rsid w:val="002B44C3"/>
    <w:rsid w:val="002C3674"/>
    <w:rsid w:val="002C44B3"/>
    <w:rsid w:val="002C5AAB"/>
    <w:rsid w:val="002C7061"/>
    <w:rsid w:val="002C7FA2"/>
    <w:rsid w:val="002D210A"/>
    <w:rsid w:val="002D2531"/>
    <w:rsid w:val="002D3B43"/>
    <w:rsid w:val="002D476C"/>
    <w:rsid w:val="002E6CB9"/>
    <w:rsid w:val="002E7F93"/>
    <w:rsid w:val="002F045E"/>
    <w:rsid w:val="002F183B"/>
    <w:rsid w:val="002F19CA"/>
    <w:rsid w:val="002F323C"/>
    <w:rsid w:val="002F6CE5"/>
    <w:rsid w:val="00300943"/>
    <w:rsid w:val="00300FC0"/>
    <w:rsid w:val="00301F3C"/>
    <w:rsid w:val="00307E3E"/>
    <w:rsid w:val="00313316"/>
    <w:rsid w:val="00313CB3"/>
    <w:rsid w:val="00315B4C"/>
    <w:rsid w:val="00316480"/>
    <w:rsid w:val="00316B0A"/>
    <w:rsid w:val="00324552"/>
    <w:rsid w:val="00325593"/>
    <w:rsid w:val="00327F7B"/>
    <w:rsid w:val="00335173"/>
    <w:rsid w:val="003423CF"/>
    <w:rsid w:val="0034331D"/>
    <w:rsid w:val="003437C8"/>
    <w:rsid w:val="00343E6C"/>
    <w:rsid w:val="003444C9"/>
    <w:rsid w:val="00350C10"/>
    <w:rsid w:val="00350C57"/>
    <w:rsid w:val="00361392"/>
    <w:rsid w:val="00361C87"/>
    <w:rsid w:val="003639FE"/>
    <w:rsid w:val="0036415E"/>
    <w:rsid w:val="00365257"/>
    <w:rsid w:val="0037005A"/>
    <w:rsid w:val="003719CE"/>
    <w:rsid w:val="00374B5E"/>
    <w:rsid w:val="00375CC6"/>
    <w:rsid w:val="00375F8B"/>
    <w:rsid w:val="00382FA7"/>
    <w:rsid w:val="00384E13"/>
    <w:rsid w:val="00385680"/>
    <w:rsid w:val="00386058"/>
    <w:rsid w:val="003947A7"/>
    <w:rsid w:val="00397C14"/>
    <w:rsid w:val="003A66CF"/>
    <w:rsid w:val="003A6853"/>
    <w:rsid w:val="003A69E7"/>
    <w:rsid w:val="003B5C0C"/>
    <w:rsid w:val="003B74DC"/>
    <w:rsid w:val="003B7E2F"/>
    <w:rsid w:val="003C2B84"/>
    <w:rsid w:val="003C40DB"/>
    <w:rsid w:val="003C5450"/>
    <w:rsid w:val="003C7229"/>
    <w:rsid w:val="003C7636"/>
    <w:rsid w:val="003D1F02"/>
    <w:rsid w:val="003D5418"/>
    <w:rsid w:val="003D5A6B"/>
    <w:rsid w:val="003D5A93"/>
    <w:rsid w:val="003E3B4E"/>
    <w:rsid w:val="003E5E60"/>
    <w:rsid w:val="003E65B1"/>
    <w:rsid w:val="003F1A97"/>
    <w:rsid w:val="003F40DA"/>
    <w:rsid w:val="004019AA"/>
    <w:rsid w:val="00401EE9"/>
    <w:rsid w:val="00402157"/>
    <w:rsid w:val="00406BA1"/>
    <w:rsid w:val="00407234"/>
    <w:rsid w:val="00410328"/>
    <w:rsid w:val="00410788"/>
    <w:rsid w:val="004123BE"/>
    <w:rsid w:val="00415932"/>
    <w:rsid w:val="00415CA5"/>
    <w:rsid w:val="004209B6"/>
    <w:rsid w:val="0042175B"/>
    <w:rsid w:val="00421DE1"/>
    <w:rsid w:val="00422871"/>
    <w:rsid w:val="00425EF2"/>
    <w:rsid w:val="0043370B"/>
    <w:rsid w:val="00435B36"/>
    <w:rsid w:val="00441011"/>
    <w:rsid w:val="00444690"/>
    <w:rsid w:val="00445159"/>
    <w:rsid w:val="00453949"/>
    <w:rsid w:val="0045450E"/>
    <w:rsid w:val="00456382"/>
    <w:rsid w:val="00457217"/>
    <w:rsid w:val="00461786"/>
    <w:rsid w:val="00462A8C"/>
    <w:rsid w:val="00463321"/>
    <w:rsid w:val="00464E48"/>
    <w:rsid w:val="00470C6F"/>
    <w:rsid w:val="004731CC"/>
    <w:rsid w:val="004761BE"/>
    <w:rsid w:val="0048268D"/>
    <w:rsid w:val="00484F89"/>
    <w:rsid w:val="00485DE5"/>
    <w:rsid w:val="00490CA7"/>
    <w:rsid w:val="00493068"/>
    <w:rsid w:val="0049317E"/>
    <w:rsid w:val="00493F9A"/>
    <w:rsid w:val="00496D93"/>
    <w:rsid w:val="004A10A2"/>
    <w:rsid w:val="004A1809"/>
    <w:rsid w:val="004A4A9C"/>
    <w:rsid w:val="004A7225"/>
    <w:rsid w:val="004B17E2"/>
    <w:rsid w:val="004B2235"/>
    <w:rsid w:val="004B24DB"/>
    <w:rsid w:val="004B3B99"/>
    <w:rsid w:val="004B4B5E"/>
    <w:rsid w:val="004C2642"/>
    <w:rsid w:val="004C4322"/>
    <w:rsid w:val="004D0E19"/>
    <w:rsid w:val="004D297D"/>
    <w:rsid w:val="004D2D55"/>
    <w:rsid w:val="004D5778"/>
    <w:rsid w:val="004E6147"/>
    <w:rsid w:val="004E7E68"/>
    <w:rsid w:val="004F2BD0"/>
    <w:rsid w:val="004F4130"/>
    <w:rsid w:val="004F6FC8"/>
    <w:rsid w:val="004F7581"/>
    <w:rsid w:val="00500D4C"/>
    <w:rsid w:val="005024FA"/>
    <w:rsid w:val="00502AD9"/>
    <w:rsid w:val="0050465A"/>
    <w:rsid w:val="00510B14"/>
    <w:rsid w:val="00515DB4"/>
    <w:rsid w:val="005160DE"/>
    <w:rsid w:val="00520612"/>
    <w:rsid w:val="005238BD"/>
    <w:rsid w:val="0052511E"/>
    <w:rsid w:val="00525AEF"/>
    <w:rsid w:val="00532B43"/>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869CE"/>
    <w:rsid w:val="00586D15"/>
    <w:rsid w:val="00593BDC"/>
    <w:rsid w:val="005952F6"/>
    <w:rsid w:val="00595BEA"/>
    <w:rsid w:val="00596EBD"/>
    <w:rsid w:val="005A2CAB"/>
    <w:rsid w:val="005A46D9"/>
    <w:rsid w:val="005B7308"/>
    <w:rsid w:val="005C0EAE"/>
    <w:rsid w:val="005C2350"/>
    <w:rsid w:val="005C698B"/>
    <w:rsid w:val="005C6992"/>
    <w:rsid w:val="005C7117"/>
    <w:rsid w:val="005D2289"/>
    <w:rsid w:val="005E22D2"/>
    <w:rsid w:val="005F5EB8"/>
    <w:rsid w:val="006012C6"/>
    <w:rsid w:val="00606AEC"/>
    <w:rsid w:val="00607A1A"/>
    <w:rsid w:val="00607E2E"/>
    <w:rsid w:val="0062577F"/>
    <w:rsid w:val="00625A5E"/>
    <w:rsid w:val="00626F8D"/>
    <w:rsid w:val="00630FFA"/>
    <w:rsid w:val="0063241A"/>
    <w:rsid w:val="00633949"/>
    <w:rsid w:val="0064056A"/>
    <w:rsid w:val="0064536D"/>
    <w:rsid w:val="00645C68"/>
    <w:rsid w:val="006517A8"/>
    <w:rsid w:val="00651B4F"/>
    <w:rsid w:val="006536A9"/>
    <w:rsid w:val="006557B3"/>
    <w:rsid w:val="006658D7"/>
    <w:rsid w:val="006669CA"/>
    <w:rsid w:val="006701A3"/>
    <w:rsid w:val="00672D22"/>
    <w:rsid w:val="0067524B"/>
    <w:rsid w:val="00681E1A"/>
    <w:rsid w:val="00691295"/>
    <w:rsid w:val="006A108C"/>
    <w:rsid w:val="006A1745"/>
    <w:rsid w:val="006A5951"/>
    <w:rsid w:val="006B191F"/>
    <w:rsid w:val="006B3BF7"/>
    <w:rsid w:val="006B7C96"/>
    <w:rsid w:val="006C06D3"/>
    <w:rsid w:val="006C1EA5"/>
    <w:rsid w:val="006C29F1"/>
    <w:rsid w:val="006C2E49"/>
    <w:rsid w:val="006C3841"/>
    <w:rsid w:val="006C65A4"/>
    <w:rsid w:val="006D26F3"/>
    <w:rsid w:val="006D6B5E"/>
    <w:rsid w:val="006D7F2C"/>
    <w:rsid w:val="006E0CE7"/>
    <w:rsid w:val="006E3E89"/>
    <w:rsid w:val="006E5B0F"/>
    <w:rsid w:val="006E6A89"/>
    <w:rsid w:val="006F1AB3"/>
    <w:rsid w:val="006F3578"/>
    <w:rsid w:val="006F4ED8"/>
    <w:rsid w:val="006F7829"/>
    <w:rsid w:val="00702603"/>
    <w:rsid w:val="00704E0F"/>
    <w:rsid w:val="00704EF4"/>
    <w:rsid w:val="00710D78"/>
    <w:rsid w:val="0071319E"/>
    <w:rsid w:val="007136AF"/>
    <w:rsid w:val="007141CA"/>
    <w:rsid w:val="007215AF"/>
    <w:rsid w:val="007240F3"/>
    <w:rsid w:val="00724F58"/>
    <w:rsid w:val="00732F11"/>
    <w:rsid w:val="00733112"/>
    <w:rsid w:val="007347FD"/>
    <w:rsid w:val="007354D0"/>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77140"/>
    <w:rsid w:val="00780260"/>
    <w:rsid w:val="00780567"/>
    <w:rsid w:val="00781F66"/>
    <w:rsid w:val="0079424E"/>
    <w:rsid w:val="007A2AF6"/>
    <w:rsid w:val="007A30D4"/>
    <w:rsid w:val="007A3F43"/>
    <w:rsid w:val="007A48EC"/>
    <w:rsid w:val="007A6FC7"/>
    <w:rsid w:val="007B0803"/>
    <w:rsid w:val="007B237E"/>
    <w:rsid w:val="007B42B9"/>
    <w:rsid w:val="007B69E3"/>
    <w:rsid w:val="007C03C1"/>
    <w:rsid w:val="007C1DD1"/>
    <w:rsid w:val="007C4BC9"/>
    <w:rsid w:val="007D0F75"/>
    <w:rsid w:val="007D21A3"/>
    <w:rsid w:val="007D30B8"/>
    <w:rsid w:val="007D3674"/>
    <w:rsid w:val="007D7FA1"/>
    <w:rsid w:val="007E0A0F"/>
    <w:rsid w:val="007E1A0E"/>
    <w:rsid w:val="007E3244"/>
    <w:rsid w:val="007E52D6"/>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011E"/>
    <w:rsid w:val="008210B7"/>
    <w:rsid w:val="00822044"/>
    <w:rsid w:val="00827650"/>
    <w:rsid w:val="00835A1D"/>
    <w:rsid w:val="008363C4"/>
    <w:rsid w:val="00841025"/>
    <w:rsid w:val="008456D5"/>
    <w:rsid w:val="00850845"/>
    <w:rsid w:val="008519CA"/>
    <w:rsid w:val="00851A4B"/>
    <w:rsid w:val="00852AB1"/>
    <w:rsid w:val="00855023"/>
    <w:rsid w:val="0085576D"/>
    <w:rsid w:val="00856323"/>
    <w:rsid w:val="00856521"/>
    <w:rsid w:val="00863A94"/>
    <w:rsid w:val="00866029"/>
    <w:rsid w:val="00866FB4"/>
    <w:rsid w:val="00870729"/>
    <w:rsid w:val="00870F05"/>
    <w:rsid w:val="00887654"/>
    <w:rsid w:val="00894032"/>
    <w:rsid w:val="008946CB"/>
    <w:rsid w:val="008953F8"/>
    <w:rsid w:val="008A3132"/>
    <w:rsid w:val="008A5E82"/>
    <w:rsid w:val="008A769C"/>
    <w:rsid w:val="008A773E"/>
    <w:rsid w:val="008B2268"/>
    <w:rsid w:val="008B656A"/>
    <w:rsid w:val="008C3D6F"/>
    <w:rsid w:val="008C494E"/>
    <w:rsid w:val="008D17FC"/>
    <w:rsid w:val="008D4726"/>
    <w:rsid w:val="008D6117"/>
    <w:rsid w:val="008E0BA3"/>
    <w:rsid w:val="008E572C"/>
    <w:rsid w:val="008F02E4"/>
    <w:rsid w:val="008F1426"/>
    <w:rsid w:val="008F1DEB"/>
    <w:rsid w:val="009001D4"/>
    <w:rsid w:val="00900608"/>
    <w:rsid w:val="00900832"/>
    <w:rsid w:val="0090304B"/>
    <w:rsid w:val="00903E9B"/>
    <w:rsid w:val="009055C6"/>
    <w:rsid w:val="00910DB7"/>
    <w:rsid w:val="009110C1"/>
    <w:rsid w:val="00912DC6"/>
    <w:rsid w:val="009156D8"/>
    <w:rsid w:val="00916A0A"/>
    <w:rsid w:val="0092335C"/>
    <w:rsid w:val="00924072"/>
    <w:rsid w:val="0092707A"/>
    <w:rsid w:val="0092747E"/>
    <w:rsid w:val="009346E2"/>
    <w:rsid w:val="009371F7"/>
    <w:rsid w:val="00940ADC"/>
    <w:rsid w:val="0094166A"/>
    <w:rsid w:val="00942918"/>
    <w:rsid w:val="00945686"/>
    <w:rsid w:val="00945A5A"/>
    <w:rsid w:val="00947BAA"/>
    <w:rsid w:val="00947EE9"/>
    <w:rsid w:val="0095070F"/>
    <w:rsid w:val="009520ED"/>
    <w:rsid w:val="00953347"/>
    <w:rsid w:val="0095503E"/>
    <w:rsid w:val="009566D3"/>
    <w:rsid w:val="00956825"/>
    <w:rsid w:val="00960A11"/>
    <w:rsid w:val="00970EC6"/>
    <w:rsid w:val="00973C89"/>
    <w:rsid w:val="009745F4"/>
    <w:rsid w:val="00974C04"/>
    <w:rsid w:val="0097587F"/>
    <w:rsid w:val="00977452"/>
    <w:rsid w:val="0098037A"/>
    <w:rsid w:val="00982E67"/>
    <w:rsid w:val="00982EA7"/>
    <w:rsid w:val="0098597B"/>
    <w:rsid w:val="00985EF5"/>
    <w:rsid w:val="00992A50"/>
    <w:rsid w:val="00995518"/>
    <w:rsid w:val="009969E5"/>
    <w:rsid w:val="009A1311"/>
    <w:rsid w:val="009A501D"/>
    <w:rsid w:val="009A6B26"/>
    <w:rsid w:val="009A7804"/>
    <w:rsid w:val="009A7D41"/>
    <w:rsid w:val="009B1F46"/>
    <w:rsid w:val="009B39BE"/>
    <w:rsid w:val="009B3AA9"/>
    <w:rsid w:val="009B43FF"/>
    <w:rsid w:val="009B476A"/>
    <w:rsid w:val="009B56A6"/>
    <w:rsid w:val="009C3E2E"/>
    <w:rsid w:val="009D243A"/>
    <w:rsid w:val="009D7D1A"/>
    <w:rsid w:val="009E1035"/>
    <w:rsid w:val="009E1253"/>
    <w:rsid w:val="009E197B"/>
    <w:rsid w:val="009E5A82"/>
    <w:rsid w:val="009E63DB"/>
    <w:rsid w:val="009F13A7"/>
    <w:rsid w:val="009F1DA9"/>
    <w:rsid w:val="009F2AFC"/>
    <w:rsid w:val="009F6085"/>
    <w:rsid w:val="00A0398A"/>
    <w:rsid w:val="00A04FA1"/>
    <w:rsid w:val="00A05732"/>
    <w:rsid w:val="00A21622"/>
    <w:rsid w:val="00A235D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877F2"/>
    <w:rsid w:val="00A879B4"/>
    <w:rsid w:val="00A90D59"/>
    <w:rsid w:val="00A916CF"/>
    <w:rsid w:val="00A917DB"/>
    <w:rsid w:val="00A974C6"/>
    <w:rsid w:val="00A97F6E"/>
    <w:rsid w:val="00AA4B35"/>
    <w:rsid w:val="00AA76C8"/>
    <w:rsid w:val="00AB672C"/>
    <w:rsid w:val="00AB6DE1"/>
    <w:rsid w:val="00AC13C6"/>
    <w:rsid w:val="00AC1947"/>
    <w:rsid w:val="00AC4B80"/>
    <w:rsid w:val="00AC5465"/>
    <w:rsid w:val="00AD1841"/>
    <w:rsid w:val="00AD3C6D"/>
    <w:rsid w:val="00AD644C"/>
    <w:rsid w:val="00AD78E9"/>
    <w:rsid w:val="00AE0A3C"/>
    <w:rsid w:val="00AE54B4"/>
    <w:rsid w:val="00AE6979"/>
    <w:rsid w:val="00AE6D2E"/>
    <w:rsid w:val="00AF59EE"/>
    <w:rsid w:val="00AF62FB"/>
    <w:rsid w:val="00B03FCB"/>
    <w:rsid w:val="00B04EEE"/>
    <w:rsid w:val="00B11413"/>
    <w:rsid w:val="00B1262F"/>
    <w:rsid w:val="00B12BD9"/>
    <w:rsid w:val="00B17116"/>
    <w:rsid w:val="00B2547D"/>
    <w:rsid w:val="00B26405"/>
    <w:rsid w:val="00B26903"/>
    <w:rsid w:val="00B312A0"/>
    <w:rsid w:val="00B32E0E"/>
    <w:rsid w:val="00B333AC"/>
    <w:rsid w:val="00B33EB8"/>
    <w:rsid w:val="00B40F63"/>
    <w:rsid w:val="00B41F10"/>
    <w:rsid w:val="00B4527A"/>
    <w:rsid w:val="00B454A4"/>
    <w:rsid w:val="00B47F3B"/>
    <w:rsid w:val="00B50446"/>
    <w:rsid w:val="00B514F2"/>
    <w:rsid w:val="00B51693"/>
    <w:rsid w:val="00B55114"/>
    <w:rsid w:val="00B634E3"/>
    <w:rsid w:val="00B63BD3"/>
    <w:rsid w:val="00B7363E"/>
    <w:rsid w:val="00B74762"/>
    <w:rsid w:val="00B75111"/>
    <w:rsid w:val="00B7681F"/>
    <w:rsid w:val="00B852DB"/>
    <w:rsid w:val="00B93A24"/>
    <w:rsid w:val="00B95631"/>
    <w:rsid w:val="00BA3790"/>
    <w:rsid w:val="00BA4C03"/>
    <w:rsid w:val="00BB2D54"/>
    <w:rsid w:val="00BB44D9"/>
    <w:rsid w:val="00BB4F2F"/>
    <w:rsid w:val="00BC1664"/>
    <w:rsid w:val="00BC4BB7"/>
    <w:rsid w:val="00BD039F"/>
    <w:rsid w:val="00BD21AF"/>
    <w:rsid w:val="00BE19C1"/>
    <w:rsid w:val="00BE4CB9"/>
    <w:rsid w:val="00BE79C5"/>
    <w:rsid w:val="00BE7E92"/>
    <w:rsid w:val="00BF0F56"/>
    <w:rsid w:val="00BF29AD"/>
    <w:rsid w:val="00BF4291"/>
    <w:rsid w:val="00BF54F5"/>
    <w:rsid w:val="00BF7840"/>
    <w:rsid w:val="00C036A9"/>
    <w:rsid w:val="00C03A03"/>
    <w:rsid w:val="00C13D1D"/>
    <w:rsid w:val="00C15AAD"/>
    <w:rsid w:val="00C15DC8"/>
    <w:rsid w:val="00C20E72"/>
    <w:rsid w:val="00C21475"/>
    <w:rsid w:val="00C22ECF"/>
    <w:rsid w:val="00C23263"/>
    <w:rsid w:val="00C23534"/>
    <w:rsid w:val="00C24BA4"/>
    <w:rsid w:val="00C26EE0"/>
    <w:rsid w:val="00C27721"/>
    <w:rsid w:val="00C31595"/>
    <w:rsid w:val="00C348F1"/>
    <w:rsid w:val="00C40C57"/>
    <w:rsid w:val="00C46859"/>
    <w:rsid w:val="00C4726F"/>
    <w:rsid w:val="00C53FBA"/>
    <w:rsid w:val="00C56F57"/>
    <w:rsid w:val="00C6380A"/>
    <w:rsid w:val="00C65440"/>
    <w:rsid w:val="00C654A7"/>
    <w:rsid w:val="00C65C63"/>
    <w:rsid w:val="00C66011"/>
    <w:rsid w:val="00C700FC"/>
    <w:rsid w:val="00C72459"/>
    <w:rsid w:val="00C72B01"/>
    <w:rsid w:val="00C859C6"/>
    <w:rsid w:val="00C912AB"/>
    <w:rsid w:val="00C91B7A"/>
    <w:rsid w:val="00C93D1A"/>
    <w:rsid w:val="00C95A07"/>
    <w:rsid w:val="00CA0144"/>
    <w:rsid w:val="00CA188B"/>
    <w:rsid w:val="00CA28AD"/>
    <w:rsid w:val="00CA76B3"/>
    <w:rsid w:val="00CB1CF9"/>
    <w:rsid w:val="00CB3030"/>
    <w:rsid w:val="00CB3E61"/>
    <w:rsid w:val="00CC0541"/>
    <w:rsid w:val="00CC33D7"/>
    <w:rsid w:val="00CC4E8C"/>
    <w:rsid w:val="00CC7210"/>
    <w:rsid w:val="00CC73A0"/>
    <w:rsid w:val="00CD2F1B"/>
    <w:rsid w:val="00CE182C"/>
    <w:rsid w:val="00CE774A"/>
    <w:rsid w:val="00CF102B"/>
    <w:rsid w:val="00CF265C"/>
    <w:rsid w:val="00CF6E47"/>
    <w:rsid w:val="00CF739C"/>
    <w:rsid w:val="00D045C6"/>
    <w:rsid w:val="00D047CB"/>
    <w:rsid w:val="00D122E2"/>
    <w:rsid w:val="00D13EE5"/>
    <w:rsid w:val="00D13EFC"/>
    <w:rsid w:val="00D15D45"/>
    <w:rsid w:val="00D17DA0"/>
    <w:rsid w:val="00D223C8"/>
    <w:rsid w:val="00D23E0D"/>
    <w:rsid w:val="00D24B40"/>
    <w:rsid w:val="00D30C13"/>
    <w:rsid w:val="00D32A66"/>
    <w:rsid w:val="00D40981"/>
    <w:rsid w:val="00D41D7A"/>
    <w:rsid w:val="00D427B6"/>
    <w:rsid w:val="00D42FF7"/>
    <w:rsid w:val="00D45BC0"/>
    <w:rsid w:val="00D46AF7"/>
    <w:rsid w:val="00D503A8"/>
    <w:rsid w:val="00D6294C"/>
    <w:rsid w:val="00D62957"/>
    <w:rsid w:val="00D64D4A"/>
    <w:rsid w:val="00D72934"/>
    <w:rsid w:val="00D949B6"/>
    <w:rsid w:val="00D97313"/>
    <w:rsid w:val="00D97FD4"/>
    <w:rsid w:val="00DA0B71"/>
    <w:rsid w:val="00DB4B17"/>
    <w:rsid w:val="00DB59E5"/>
    <w:rsid w:val="00DC129A"/>
    <w:rsid w:val="00DC229D"/>
    <w:rsid w:val="00DC3848"/>
    <w:rsid w:val="00DC519B"/>
    <w:rsid w:val="00DC64CC"/>
    <w:rsid w:val="00DD1001"/>
    <w:rsid w:val="00DD1150"/>
    <w:rsid w:val="00DD2355"/>
    <w:rsid w:val="00DD2709"/>
    <w:rsid w:val="00DD3394"/>
    <w:rsid w:val="00DD3EDD"/>
    <w:rsid w:val="00DD412E"/>
    <w:rsid w:val="00DE1544"/>
    <w:rsid w:val="00DE3056"/>
    <w:rsid w:val="00DE408F"/>
    <w:rsid w:val="00DE472A"/>
    <w:rsid w:val="00DE5335"/>
    <w:rsid w:val="00DE5F35"/>
    <w:rsid w:val="00DE7F8E"/>
    <w:rsid w:val="00DF0ED2"/>
    <w:rsid w:val="00DF3303"/>
    <w:rsid w:val="00DF38CA"/>
    <w:rsid w:val="00DF5145"/>
    <w:rsid w:val="00DF7928"/>
    <w:rsid w:val="00E053C8"/>
    <w:rsid w:val="00E062BC"/>
    <w:rsid w:val="00E159E3"/>
    <w:rsid w:val="00E15BDB"/>
    <w:rsid w:val="00E1684E"/>
    <w:rsid w:val="00E17F60"/>
    <w:rsid w:val="00E201B8"/>
    <w:rsid w:val="00E20E19"/>
    <w:rsid w:val="00E25D12"/>
    <w:rsid w:val="00E31B10"/>
    <w:rsid w:val="00E32186"/>
    <w:rsid w:val="00E3672E"/>
    <w:rsid w:val="00E404BB"/>
    <w:rsid w:val="00E4248F"/>
    <w:rsid w:val="00E518C5"/>
    <w:rsid w:val="00E60EED"/>
    <w:rsid w:val="00E739B2"/>
    <w:rsid w:val="00E73F69"/>
    <w:rsid w:val="00E76FBF"/>
    <w:rsid w:val="00E822AA"/>
    <w:rsid w:val="00E922B5"/>
    <w:rsid w:val="00E92CCB"/>
    <w:rsid w:val="00E96187"/>
    <w:rsid w:val="00E97EA7"/>
    <w:rsid w:val="00EA1D4D"/>
    <w:rsid w:val="00EA40DD"/>
    <w:rsid w:val="00EA49C4"/>
    <w:rsid w:val="00EA4E13"/>
    <w:rsid w:val="00EA5E16"/>
    <w:rsid w:val="00EA7991"/>
    <w:rsid w:val="00EB1E17"/>
    <w:rsid w:val="00EB633C"/>
    <w:rsid w:val="00EB7DB3"/>
    <w:rsid w:val="00EC5BFF"/>
    <w:rsid w:val="00EC6252"/>
    <w:rsid w:val="00ED0196"/>
    <w:rsid w:val="00ED126B"/>
    <w:rsid w:val="00ED6F17"/>
    <w:rsid w:val="00EE07D6"/>
    <w:rsid w:val="00EE083B"/>
    <w:rsid w:val="00EE18F7"/>
    <w:rsid w:val="00EE2F97"/>
    <w:rsid w:val="00EE3838"/>
    <w:rsid w:val="00EE583B"/>
    <w:rsid w:val="00EE5CB8"/>
    <w:rsid w:val="00EE6E58"/>
    <w:rsid w:val="00EF3DC9"/>
    <w:rsid w:val="00EF5088"/>
    <w:rsid w:val="00F0089F"/>
    <w:rsid w:val="00F0118E"/>
    <w:rsid w:val="00F02E63"/>
    <w:rsid w:val="00F05280"/>
    <w:rsid w:val="00F07F90"/>
    <w:rsid w:val="00F150CC"/>
    <w:rsid w:val="00F17234"/>
    <w:rsid w:val="00F218F2"/>
    <w:rsid w:val="00F2299A"/>
    <w:rsid w:val="00F30853"/>
    <w:rsid w:val="00F30C21"/>
    <w:rsid w:val="00F3197B"/>
    <w:rsid w:val="00F40F22"/>
    <w:rsid w:val="00F415C9"/>
    <w:rsid w:val="00F4248B"/>
    <w:rsid w:val="00F444BE"/>
    <w:rsid w:val="00F535F6"/>
    <w:rsid w:val="00F539E3"/>
    <w:rsid w:val="00F63727"/>
    <w:rsid w:val="00F639B2"/>
    <w:rsid w:val="00F64A07"/>
    <w:rsid w:val="00F64B49"/>
    <w:rsid w:val="00F66C31"/>
    <w:rsid w:val="00F8199F"/>
    <w:rsid w:val="00F8272B"/>
    <w:rsid w:val="00F8322A"/>
    <w:rsid w:val="00F84694"/>
    <w:rsid w:val="00F86191"/>
    <w:rsid w:val="00F86C11"/>
    <w:rsid w:val="00F87E5E"/>
    <w:rsid w:val="00F97830"/>
    <w:rsid w:val="00FA1C7B"/>
    <w:rsid w:val="00FA4C55"/>
    <w:rsid w:val="00FA7AF2"/>
    <w:rsid w:val="00FB39BD"/>
    <w:rsid w:val="00FB6655"/>
    <w:rsid w:val="00FB6FD8"/>
    <w:rsid w:val="00FC10F3"/>
    <w:rsid w:val="00FC2F23"/>
    <w:rsid w:val="00FC335C"/>
    <w:rsid w:val="00FC3D33"/>
    <w:rsid w:val="00FC4A1B"/>
    <w:rsid w:val="00FC525F"/>
    <w:rsid w:val="00FC743A"/>
    <w:rsid w:val="00FD13A2"/>
    <w:rsid w:val="00FD37D5"/>
    <w:rsid w:val="00FD678B"/>
    <w:rsid w:val="00FE20D6"/>
    <w:rsid w:val="00FE7A81"/>
    <w:rsid w:val="00FF004A"/>
    <w:rsid w:val="00FF1C23"/>
    <w:rsid w:val="00FF6B5A"/>
    <w:rsid w:val="012E4A07"/>
    <w:rsid w:val="01B5AEC3"/>
    <w:rsid w:val="0262BF27"/>
    <w:rsid w:val="03C7E1B2"/>
    <w:rsid w:val="041CBC10"/>
    <w:rsid w:val="0508917D"/>
    <w:rsid w:val="0510FDC9"/>
    <w:rsid w:val="0621BC62"/>
    <w:rsid w:val="06260004"/>
    <w:rsid w:val="06891FE6"/>
    <w:rsid w:val="0787265B"/>
    <w:rsid w:val="078FF784"/>
    <w:rsid w:val="098D123C"/>
    <w:rsid w:val="0AA5E055"/>
    <w:rsid w:val="0AD3043B"/>
    <w:rsid w:val="0AE33BF2"/>
    <w:rsid w:val="0B5FC9D0"/>
    <w:rsid w:val="0BC91261"/>
    <w:rsid w:val="0C721B46"/>
    <w:rsid w:val="0CBEA08C"/>
    <w:rsid w:val="0CF365BB"/>
    <w:rsid w:val="0E0AA4FD"/>
    <w:rsid w:val="1215399F"/>
    <w:rsid w:val="13F3083B"/>
    <w:rsid w:val="1445A245"/>
    <w:rsid w:val="1521448D"/>
    <w:rsid w:val="167EB44A"/>
    <w:rsid w:val="1760B5E9"/>
    <w:rsid w:val="17A8969D"/>
    <w:rsid w:val="17B7FB08"/>
    <w:rsid w:val="18D694BA"/>
    <w:rsid w:val="1915AEA7"/>
    <w:rsid w:val="1A3524A6"/>
    <w:rsid w:val="1A5A9086"/>
    <w:rsid w:val="1B9D5475"/>
    <w:rsid w:val="1BB2F13C"/>
    <w:rsid w:val="1EA66087"/>
    <w:rsid w:val="1FB474E0"/>
    <w:rsid w:val="2120C08C"/>
    <w:rsid w:val="214BBB62"/>
    <w:rsid w:val="22999CF8"/>
    <w:rsid w:val="22B3C14D"/>
    <w:rsid w:val="22E78BC3"/>
    <w:rsid w:val="242E2C99"/>
    <w:rsid w:val="2483CD84"/>
    <w:rsid w:val="25042B41"/>
    <w:rsid w:val="25F7C81F"/>
    <w:rsid w:val="26AB259C"/>
    <w:rsid w:val="272A187A"/>
    <w:rsid w:val="28438D37"/>
    <w:rsid w:val="28836F48"/>
    <w:rsid w:val="295F56FC"/>
    <w:rsid w:val="298D5B27"/>
    <w:rsid w:val="29AC84E9"/>
    <w:rsid w:val="2AFE9C6D"/>
    <w:rsid w:val="2B6BE6BB"/>
    <w:rsid w:val="2CCDA707"/>
    <w:rsid w:val="2F7D4558"/>
    <w:rsid w:val="2FAA53AA"/>
    <w:rsid w:val="314C17A5"/>
    <w:rsid w:val="31E4EDAE"/>
    <w:rsid w:val="32AF8500"/>
    <w:rsid w:val="33110E8A"/>
    <w:rsid w:val="356AA493"/>
    <w:rsid w:val="35741A84"/>
    <w:rsid w:val="36DD7FEB"/>
    <w:rsid w:val="376859C5"/>
    <w:rsid w:val="381F76D4"/>
    <w:rsid w:val="39616737"/>
    <w:rsid w:val="39F4CE2B"/>
    <w:rsid w:val="3A410835"/>
    <w:rsid w:val="3A5C2754"/>
    <w:rsid w:val="3B428351"/>
    <w:rsid w:val="3DF85DEE"/>
    <w:rsid w:val="3E9DD61D"/>
    <w:rsid w:val="40332BA3"/>
    <w:rsid w:val="42420549"/>
    <w:rsid w:val="43434503"/>
    <w:rsid w:val="44106E51"/>
    <w:rsid w:val="448F6DCD"/>
    <w:rsid w:val="464D64AA"/>
    <w:rsid w:val="49181C28"/>
    <w:rsid w:val="4A19CB91"/>
    <w:rsid w:val="4C8EE135"/>
    <w:rsid w:val="4E12BDEB"/>
    <w:rsid w:val="4E2F83A0"/>
    <w:rsid w:val="4FD484CF"/>
    <w:rsid w:val="50B7296E"/>
    <w:rsid w:val="51AE7A7F"/>
    <w:rsid w:val="55D2EF40"/>
    <w:rsid w:val="57F90867"/>
    <w:rsid w:val="5A3F50F8"/>
    <w:rsid w:val="5A4D2E51"/>
    <w:rsid w:val="5B4E591B"/>
    <w:rsid w:val="5D677C95"/>
    <w:rsid w:val="5D9B7717"/>
    <w:rsid w:val="5F583660"/>
    <w:rsid w:val="60B654A6"/>
    <w:rsid w:val="60D07EED"/>
    <w:rsid w:val="61BF68C5"/>
    <w:rsid w:val="62962AE2"/>
    <w:rsid w:val="62F1A843"/>
    <w:rsid w:val="6383B3B6"/>
    <w:rsid w:val="6506A225"/>
    <w:rsid w:val="653ED703"/>
    <w:rsid w:val="65F673F2"/>
    <w:rsid w:val="666F20E0"/>
    <w:rsid w:val="674CC673"/>
    <w:rsid w:val="6AC19F28"/>
    <w:rsid w:val="6ACED330"/>
    <w:rsid w:val="6B41844B"/>
    <w:rsid w:val="6B4B1CF2"/>
    <w:rsid w:val="6D03C2D2"/>
    <w:rsid w:val="6DB1A4F2"/>
    <w:rsid w:val="6E83A837"/>
    <w:rsid w:val="6F040A83"/>
    <w:rsid w:val="6FC53B2A"/>
    <w:rsid w:val="70243523"/>
    <w:rsid w:val="7028627A"/>
    <w:rsid w:val="70773E0D"/>
    <w:rsid w:val="707DCE8E"/>
    <w:rsid w:val="7093C55D"/>
    <w:rsid w:val="7120CA28"/>
    <w:rsid w:val="7140615E"/>
    <w:rsid w:val="71ECD035"/>
    <w:rsid w:val="73054583"/>
    <w:rsid w:val="738649A8"/>
    <w:rsid w:val="73AE40DB"/>
    <w:rsid w:val="73F35DA3"/>
    <w:rsid w:val="73FAB376"/>
    <w:rsid w:val="741130BC"/>
    <w:rsid w:val="750B960F"/>
    <w:rsid w:val="764BFDE1"/>
    <w:rsid w:val="76E67F91"/>
    <w:rsid w:val="78EDD385"/>
    <w:rsid w:val="7939C7AE"/>
    <w:rsid w:val="79BF107B"/>
    <w:rsid w:val="7AC8A35D"/>
    <w:rsid w:val="7B16CD6B"/>
    <w:rsid w:val="7B757529"/>
    <w:rsid w:val="7BB728C0"/>
    <w:rsid w:val="7DF90DE2"/>
    <w:rsid w:val="7F4BC012"/>
    <w:rsid w:val="7F627349"/>
    <w:rsid w:val="7F63FADD"/>
    <w:rsid w:val="7FF71C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0A227B3-85D9-496C-9657-70E6445A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eastAsia="en-US"/>
    </w:rPr>
  </w:style>
  <w:style w:type="paragraph" w:styleId="Heading1">
    <w:name w:val="heading 1"/>
    <w:basedOn w:val="Normal"/>
    <w:next w:val="Normal"/>
    <w:link w:val="Heading1Char"/>
    <w:autoRedefine/>
    <w:qFormat/>
    <w:rsid w:val="00E60EED"/>
    <w:pPr>
      <w:keepNext/>
      <w:spacing w:before="240" w:after="120"/>
      <w:jc w:val="center"/>
      <w:outlineLvl w:val="0"/>
    </w:pPr>
    <w:rPr>
      <w:b/>
      <w:caps/>
      <w:sz w:val="32"/>
      <w:szCs w:val="24"/>
    </w:rPr>
  </w:style>
  <w:style w:type="paragraph" w:styleId="Heading2">
    <w:name w:val="heading 2"/>
    <w:basedOn w:val="Normal"/>
    <w:next w:val="Normal"/>
    <w:link w:val="Heading2Char"/>
    <w:autoRedefine/>
    <w:qFormat/>
    <w:rsid w:val="00E60EED"/>
    <w:pPr>
      <w:keepNext/>
      <w:spacing w:before="240" w:after="120"/>
      <w:jc w:val="center"/>
      <w:outlineLvl w:val="1"/>
    </w:pPr>
    <w:rPr>
      <w:rFonts w:eastAsiaTheme="minorHAnsi"/>
      <w:b/>
      <w:bCs/>
      <w:caps/>
      <w:sz w:val="28"/>
    </w:rPr>
  </w:style>
  <w:style w:type="paragraph" w:styleId="Heading3">
    <w:name w:val="heading 3"/>
    <w:basedOn w:val="Normal"/>
    <w:next w:val="Normal"/>
    <w:link w:val="Heading3Char"/>
    <w:autoRedefine/>
    <w:qFormat/>
    <w:rsid w:val="008519CA"/>
    <w:pPr>
      <w:keepNext/>
      <w:spacing w:before="240" w:after="120"/>
      <w:contextualSpacing/>
      <w:outlineLvl w:val="2"/>
    </w:pPr>
    <w:rPr>
      <w:rFonts w:eastAsiaTheme="minorHAnsi" w:cs="Arial"/>
      <w:b/>
      <w:bCs/>
      <w:sz w:val="24"/>
      <w:szCs w:val="24"/>
    </w:rPr>
  </w:style>
  <w:style w:type="paragraph" w:styleId="Heading4">
    <w:name w:val="heading 4"/>
    <w:basedOn w:val="Normal"/>
    <w:next w:val="Normal"/>
    <w:link w:val="Heading4Char"/>
    <w:autoRedefine/>
    <w:qFormat/>
    <w:rsid w:val="008519CA"/>
    <w:pPr>
      <w:keepNext/>
      <w:spacing w:before="120" w:after="120"/>
      <w:ind w:left="360"/>
      <w:outlineLvl w:val="3"/>
    </w:pPr>
    <w:rPr>
      <w:b/>
      <w:bCs/>
      <w:szCs w:val="28"/>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E60EED"/>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BodyTextItalic">
    <w:name w:val="Body Text + Italic"/>
    <w:basedOn w:val="BodyText"/>
    <w:rsid w:val="008108BB"/>
    <w:rPr>
      <w:i/>
    </w:rPr>
  </w:style>
  <w:style w:type="character" w:customStyle="1" w:styleId="CoverPageHeaderCSASChar">
    <w:name w:val="Cover Page: Header (CSAS) Char"/>
    <w:basedOn w:val="BodyTextChar"/>
    <w:link w:val="CoverPageHeaderCSAS"/>
    <w:rsid w:val="00B63BD3"/>
    <w:rPr>
      <w:rFonts w:ascii="Arial" w:hAnsi="Arial"/>
      <w:b/>
      <w:sz w:val="22"/>
      <w:lang w:val="fr-CA" w:eastAsia="en-US"/>
    </w:rPr>
  </w:style>
  <w:style w:type="paragraph" w:customStyle="1" w:styleId="PageHeaderRegionsNameofthereport">
    <w:name w:val="Page Header: Region(s) + Name of the report"/>
    <w:basedOn w:val="BodyText"/>
    <w:link w:val="PageHeaderRegionsNameofthereportChar"/>
    <w:rsid w:val="00B63BD3"/>
    <w:pPr>
      <w:spacing w:after="0"/>
    </w:pPr>
    <w:rPr>
      <w:b/>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fr-CA" w:eastAsia="en-US"/>
    </w:rPr>
  </w:style>
  <w:style w:type="character" w:customStyle="1" w:styleId="BodyTextChar">
    <w:name w:val="Body Text Char"/>
    <w:basedOn w:val="DefaultParagraphFont"/>
    <w:link w:val="BodyText"/>
    <w:rsid w:val="002B44C3"/>
    <w:rPr>
      <w:rFonts w:ascii="Arial" w:hAnsi="Arial"/>
      <w:sz w:val="22"/>
      <w:lang w:val="fr-CA"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fr-CA"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E60EED"/>
    <w:rPr>
      <w:rFonts w:ascii="Arial" w:hAnsi="Arial"/>
      <w:b/>
      <w:caps/>
      <w:sz w:val="32"/>
      <w:szCs w:val="24"/>
      <w:lang w:eastAsia="en-US"/>
    </w:rPr>
  </w:style>
  <w:style w:type="character" w:customStyle="1" w:styleId="Heading3Char">
    <w:name w:val="Heading 3 Char"/>
    <w:basedOn w:val="DefaultParagraphFont"/>
    <w:link w:val="Heading3"/>
    <w:rsid w:val="008519CA"/>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8519CA"/>
    <w:rPr>
      <w:rFonts w:ascii="Arial"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fr-CA"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fr-CA"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fr-CA" w:eastAsia="en-US"/>
    </w:rPr>
  </w:style>
  <w:style w:type="character" w:styleId="CommentReference">
    <w:name w:val="annotation reference"/>
    <w:basedOn w:val="DefaultParagraphFont"/>
    <w:uiPriority w:val="99"/>
    <w:semiHidden/>
    <w:unhideWhenUsed/>
    <w:rsid w:val="00545297"/>
    <w:rPr>
      <w:sz w:val="16"/>
      <w:szCs w:val="16"/>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paragraph" w:customStyle="1" w:styleId="Footnote">
    <w:name w:val="Footnote"/>
    <w:basedOn w:val="Normal"/>
    <w:rsid w:val="00B40F63"/>
    <w:pPr>
      <w:spacing w:before="120" w:after="120"/>
      <w:ind w:left="360" w:hanging="360"/>
    </w:pPr>
    <w:rPr>
      <w:sz w:val="20"/>
    </w:rPr>
  </w:style>
  <w:style w:type="paragraph" w:customStyle="1" w:styleId="PagecouvertureenttedelapageSCCS">
    <w:name w:val="Page couverture: entête de la page (SCCS)"/>
    <w:basedOn w:val="BodyText"/>
    <w:link w:val="PagecouvertureenttedelapageSCCSChar"/>
    <w:rsid w:val="00DC129A"/>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DC129A"/>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DC129A"/>
    <w:pPr>
      <w:pBdr>
        <w:bottom w:val="single" w:sz="4" w:space="1" w:color="auto"/>
      </w:pBdr>
      <w:tabs>
        <w:tab w:val="right" w:pos="9356"/>
      </w:tabs>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uvert.canada.ca/fr/licence-du-gouvernement-ouvert-canad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fra.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documenttasks/documenttasks1.xml><?xml version="1.0" encoding="utf-8"?>
<t:Tasks xmlns:t="http://schemas.microsoft.com/office/tasks/2019/documenttasks" xmlns:oel="http://schemas.microsoft.com/office/2019/extlst">
  <t:Task id="{E4C3FB9E-29AC-4F13-A121-3F0ABC62EAB6}">
    <t:Anchor>
      <t:Comment id="1036587273"/>
    </t:Anchor>
    <t:History>
      <t:Event id="{5B1D8EF1-94C2-4662-9CFF-838E74B7DA0C}" time="2024-10-30T17:53:43.288Z">
        <t:Attribution userId="S::jenni.mcdermid@dfo-mpo.gc.ca::7a38a752-a903-4ca5-9c81-e5a44c0c139b" userProvider="AD" userName="McDermid, Jenni (she, her / elle, la) (DFO/MPO)"/>
        <t:Anchor>
          <t:Comment id="1036587273"/>
        </t:Anchor>
        <t:Create/>
      </t:Event>
      <t:Event id="{35F60BA9-5086-4D2F-8C50-9D0FD37B9B8E}" time="2024-10-30T17:53:43.288Z">
        <t:Attribution userId="S::jenni.mcdermid@dfo-mpo.gc.ca::7a38a752-a903-4ca5-9c81-e5a44c0c139b" userProvider="AD" userName="McDermid, Jenni (she, her / elle, la) (DFO/MPO)"/>
        <t:Anchor>
          <t:Comment id="1036587273"/>
        </t:Anchor>
        <t:Assign userId="S::Karen.Dwyer@dfo-mpo.gc.ca::9f3108bf-d3f7-4266-875a-6d7790cdc5d3" userProvider="AD" userName="Dwyer, Karen (DFO/MPO)"/>
      </t:Event>
      <t:Event id="{1E5B5F1B-1078-4D89-A03F-9622CF602A58}" time="2024-10-30T17:53:43.288Z">
        <t:Attribution userId="S::jenni.mcdermid@dfo-mpo.gc.ca::7a38a752-a903-4ca5-9c81-e5a44c0c139b" userProvider="AD" userName="McDermid, Jenni (she, her / elle, la) (DFO/MPO)"/>
        <t:Anchor>
          <t:Comment id="1036587273"/>
        </t:Anchor>
        <t:SetTitle title="@O, Miriam (she, her / elle, la) (DFO/MPO) and @Dwyer, Karen (DFO/MPO) can you look into whether there is a better title for this?"/>
      </t:Event>
      <t:Event id="{B84EA875-8BD0-4AF9-8909-68A9CE308FAC}" time="2024-11-14T16:51:15.57Z">
        <t:Attribution userId="S::karen.dwyer@dfo-mpo.gc.ca::9f3108bf-d3f7-4266-875a-6d7790cdc5d3" userProvider="AD" userName="Dwyer, Karen (DFO/MPO)"/>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7DD7B-5984-4267-BB64-66CDFFD84BB8}">
  <ds:schemaRefs>
    <ds:schemaRef ds:uri="http://schemas.microsoft.com/office/2006/documentManagement/types"/>
    <ds:schemaRef ds:uri="ed6b920f-46e0-4b22-b3d7-c5c6ca8bc0e6"/>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http://schemas.openxmlformats.org/package/2006/metadata/core-properties"/>
    <ds:schemaRef ds:uri="eaccd8de-be07-45ec-a3e6-88584a8b0b42"/>
    <ds:schemaRef ds:uri="http://purl.org/dc/dcmitype/"/>
  </ds:schemaRefs>
</ds:datastoreItem>
</file>

<file path=customXml/itemProps2.xml><?xml version="1.0" encoding="utf-8"?>
<ds:datastoreItem xmlns:ds="http://schemas.openxmlformats.org/officeDocument/2006/customXml" ds:itemID="{CC7D097E-A007-4D34-8B4B-45935FD27C22}"/>
</file>

<file path=customXml/itemProps3.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14</TotalTime>
  <Pages>9</Pages>
  <Words>2702</Words>
  <Characters>15346</Characters>
  <Application>Microsoft Office Word</Application>
  <DocSecurity>0</DocSecurity>
  <Lines>127</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SAR-AS TEMPLATE</vt:lpstr>
      <vt:lpstr>SAR-AS TEMPLATE</vt:lpstr>
    </vt:vector>
  </TitlesOfParts>
  <Company>Pêches et Océans Canada. Secrétariat canadien des avis scientifiques.</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Pêches et Océans Canada. Secrétariat canadien des avis scientifiques.</dc:creator>
  <cp:keywords>Pêches et Océans Canada;Secrétariat canadien des avis scientifiques;Avis Scientifique</cp:keywords>
  <cp:lastModifiedBy>Edwards, Melissa (DFO/MPO)</cp:lastModifiedBy>
  <cp:revision>4</cp:revision>
  <cp:lastPrinted>2024-01-18T18:37:00Z</cp:lastPrinted>
  <dcterms:created xsi:type="dcterms:W3CDTF">2025-04-22T15:53:00Z</dcterms:created>
  <dcterms:modified xsi:type="dcterms:W3CDTF">2025-04-25T19:09:00Z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y fmtid="{D5CDD505-2E9C-101B-9397-08002B2CF9AE}" pid="11" name="MSIP_Label_834ed4f5-eae4-40c7-82be-b1cdf720a1b9_Enabled">
    <vt:lpwstr>true</vt:lpwstr>
  </property>
  <property fmtid="{D5CDD505-2E9C-101B-9397-08002B2CF9AE}" pid="12" name="MSIP_Label_834ed4f5-eae4-40c7-82be-b1cdf720a1b9_SetDate">
    <vt:lpwstr>2025-03-19T13:33:17Z</vt:lpwstr>
  </property>
  <property fmtid="{D5CDD505-2E9C-101B-9397-08002B2CF9AE}" pid="13" name="MSIP_Label_834ed4f5-eae4-40c7-82be-b1cdf720a1b9_Method">
    <vt:lpwstr>Standard</vt:lpwstr>
  </property>
  <property fmtid="{D5CDD505-2E9C-101B-9397-08002B2CF9AE}" pid="14" name="MSIP_Label_834ed4f5-eae4-40c7-82be-b1cdf720a1b9_Name">
    <vt:lpwstr>Unclassified - Non classifié</vt:lpwstr>
  </property>
  <property fmtid="{D5CDD505-2E9C-101B-9397-08002B2CF9AE}" pid="15" name="MSIP_Label_834ed4f5-eae4-40c7-82be-b1cdf720a1b9_SiteId">
    <vt:lpwstr>e0d54a3c-7bbe-4a64-9d46-f9f84a41c833</vt:lpwstr>
  </property>
  <property fmtid="{D5CDD505-2E9C-101B-9397-08002B2CF9AE}" pid="16" name="MSIP_Label_834ed4f5-eae4-40c7-82be-b1cdf720a1b9_ActionId">
    <vt:lpwstr>bc5c914b-b7e4-4850-bdc8-e66401b5e988</vt:lpwstr>
  </property>
  <property fmtid="{D5CDD505-2E9C-101B-9397-08002B2CF9AE}" pid="17" name="MSIP_Label_834ed4f5-eae4-40c7-82be-b1cdf720a1b9_ContentBits">
    <vt:lpwstr>0</vt:lpwstr>
  </property>
</Properties>
</file>