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1AFA2F99" w:rsidR="0092747E"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p w14:paraId="34421E0C" w14:textId="124A8194" w:rsidR="002A081E" w:rsidRPr="0092747E" w:rsidRDefault="002A081E" w:rsidP="000F7324">
      <w:pPr>
        <w:pStyle w:val="Context-Heading"/>
      </w:pPr>
      <w:r w:rsidRPr="0092747E">
        <w:t>Context</w:t>
      </w:r>
    </w:p>
    <w:p w14:paraId="153B1C6E" w14:textId="77777777" w:rsidR="000F7324" w:rsidRPr="008A5E82" w:rsidRDefault="000F7324" w:rsidP="000F7324">
      <w:pPr>
        <w:pStyle w:val="BodyText"/>
        <w:rPr>
          <w:color w:val="4F81BD" w:themeColor="accent1"/>
        </w:rPr>
      </w:pPr>
      <w:r w:rsidRPr="008A5E82">
        <w:rPr>
          <w:color w:val="4F81BD" w:themeColor="accent1"/>
        </w:rPr>
        <w:t>[Mandatory. Less than 150 words]</w:t>
      </w:r>
    </w:p>
    <w:p w14:paraId="17BE6A80" w14:textId="77777777" w:rsidR="000F7324" w:rsidRPr="008A5E82" w:rsidRDefault="000F7324" w:rsidP="000F7324">
      <w:pPr>
        <w:pStyle w:val="BodyText"/>
        <w:rPr>
          <w:color w:val="4F81BD" w:themeColor="accent1"/>
        </w:rPr>
      </w:pPr>
      <w:r w:rsidRPr="008A5E82">
        <w:rPr>
          <w:color w:val="4F81BD" w:themeColor="accent1"/>
        </w:rPr>
        <w:t xml:space="preserve">[This section will be posted in HTML format on the CSAS website followed by the link to the full PDF version of the publication. </w:t>
      </w:r>
    </w:p>
    <w:p w14:paraId="7F086F5C" w14:textId="77777777" w:rsidR="000F7324" w:rsidRDefault="000F7324" w:rsidP="000F7324">
      <w:pPr>
        <w:pStyle w:val="BodyText"/>
      </w:pPr>
      <w:r w:rsidRPr="0092747E">
        <w:t xml:space="preserve">This </w:t>
      </w:r>
      <w:r w:rsidRPr="008A5E82">
        <w:rPr>
          <w:color w:val="4F81BD" w:themeColor="accent1"/>
        </w:rPr>
        <w:t xml:space="preserve">Science Advisory Report/Science Response </w:t>
      </w:r>
      <w:r w:rsidRPr="0092747E">
        <w:t xml:space="preserve">is from the </w:t>
      </w:r>
      <w:r w:rsidRPr="008A5E82">
        <w:rPr>
          <w:color w:val="4F81BD" w:themeColor="accent1"/>
        </w:rPr>
        <w:t>[meeting date and title (e.g., regional peer review of January 25, 2011 on the Assessment of Quebec inshore waters softshell clam)</w:t>
      </w:r>
      <w:r w:rsidRPr="00051C98">
        <w:rPr>
          <w:color w:val="4F81BD" w:themeColor="accent1"/>
        </w:rPr>
        <w:t xml:space="preserve">The meeting process, date and title </w:t>
      </w:r>
      <w:r w:rsidRPr="00051C98">
        <w:rPr>
          <w:b/>
          <w:color w:val="4F81BD" w:themeColor="accent1"/>
        </w:rPr>
        <w:t xml:space="preserve">MUST BE EXACTLY </w:t>
      </w:r>
      <w:r w:rsidRPr="00051C98">
        <w:rPr>
          <w:color w:val="4F81BD" w:themeColor="accent1"/>
        </w:rPr>
        <w:t>as they appear for the meeting on the Science Advisory Schedule</w:t>
      </w:r>
      <w:r w:rsidRPr="008A5E82">
        <w:rPr>
          <w:color w:val="4F81BD" w:themeColor="accent1"/>
        </w:rPr>
        <w:t>]. [Include link to IFMP/rebuilding plan]</w:t>
      </w:r>
      <w:r>
        <w:t xml:space="preserve"> </w:t>
      </w:r>
      <w:r w:rsidRPr="0092747E">
        <w:t xml:space="preserve">Additional publications from this meeting will be posted on the </w:t>
      </w:r>
      <w:hyperlink r:id="rId11" w:history="1">
        <w:r w:rsidRPr="00F8199F">
          <w:rPr>
            <w:rStyle w:val="Hyperlink"/>
          </w:rPr>
          <w:t>Fisheries and Oceans Canada (DFO) Science Advisory Schedule</w:t>
        </w:r>
      </w:hyperlink>
      <w:r w:rsidRPr="00350C57">
        <w:t xml:space="preserve"> </w:t>
      </w:r>
      <w:r w:rsidRPr="0092747E">
        <w:t>as they become available</w:t>
      </w:r>
      <w:r>
        <w:t xml:space="preserve"> </w:t>
      </w:r>
      <w:r w:rsidRPr="008A5E82">
        <w:rPr>
          <w:color w:val="4F81BD" w:themeColor="accent1"/>
        </w:rPr>
        <w:t>[if applicable].</w:t>
      </w:r>
    </w:p>
    <w:p w14:paraId="01A52BD7" w14:textId="77777777" w:rsidR="000F7324" w:rsidRPr="00F8199F" w:rsidRDefault="000F7324" w:rsidP="000F7324">
      <w:pPr>
        <w:pStyle w:val="BodyText"/>
        <w:rPr>
          <w:lang w:val="en-CA"/>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0F7324">
      <w:pPr>
        <w:pStyle w:val="Context-Heading"/>
      </w:pPr>
      <w:r w:rsidRPr="00543275">
        <w:t>SCI</w:t>
      </w:r>
      <w:r w:rsidRPr="000F7324">
        <w:t>ENCE AD</w:t>
      </w:r>
      <w:r w:rsidRPr="00543275">
        <w:t>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6CFF8EC1" w14:textId="77777777" w:rsidR="000F7324" w:rsidRPr="00E053C8" w:rsidRDefault="000F7324" w:rsidP="000F7324">
      <w:pPr>
        <w:pStyle w:val="Heading3"/>
      </w:pPr>
      <w:bookmarkStart w:id="0" w:name="_Hlk124854605"/>
      <w:r w:rsidRPr="00E053C8">
        <w:t>Status</w:t>
      </w:r>
    </w:p>
    <w:p w14:paraId="23147009" w14:textId="77777777" w:rsidR="000F7324" w:rsidRPr="006A108C" w:rsidRDefault="000F7324" w:rsidP="000F7324">
      <w:pPr>
        <w:pStyle w:val="ListBullet"/>
        <w:rPr>
          <w:b/>
          <w:bCs/>
        </w:rPr>
      </w:pPr>
      <w:r w:rsidRPr="006A108C">
        <w:rPr>
          <w:color w:val="4F81BD" w:themeColor="accent1"/>
        </w:rPr>
        <w:t xml:space="preserve">[Mandatory bullet(s)] </w:t>
      </w:r>
    </w:p>
    <w:p w14:paraId="621ACEBA" w14:textId="77777777" w:rsidR="000F7324" w:rsidRPr="006A108C" w:rsidRDefault="000F7324" w:rsidP="000F7324">
      <w:pPr>
        <w:pStyle w:val="Heading3"/>
      </w:pPr>
      <w:r w:rsidRPr="006A108C">
        <w:t>Trends</w:t>
      </w:r>
    </w:p>
    <w:p w14:paraId="39799E05" w14:textId="77777777" w:rsidR="000F7324" w:rsidRPr="006A108C" w:rsidRDefault="000F7324" w:rsidP="000F7324">
      <w:pPr>
        <w:pStyle w:val="ListBullet"/>
        <w:rPr>
          <w:b/>
          <w:bCs/>
        </w:rPr>
      </w:pPr>
      <w:r w:rsidRPr="006A108C">
        <w:rPr>
          <w:color w:val="4F81BD" w:themeColor="accent1"/>
        </w:rPr>
        <w:t xml:space="preserve">[Mandatory bullet(s)] </w:t>
      </w:r>
    </w:p>
    <w:p w14:paraId="09B0079A" w14:textId="77777777" w:rsidR="000F7324" w:rsidRPr="00E053C8" w:rsidRDefault="000F7324" w:rsidP="000F7324">
      <w:pPr>
        <w:pStyle w:val="Heading3"/>
      </w:pPr>
      <w:r w:rsidRPr="00E053C8">
        <w:t>E</w:t>
      </w:r>
      <w:r>
        <w:t>cosystem</w:t>
      </w:r>
      <w:r w:rsidRPr="00E053C8">
        <w:t xml:space="preserve"> and Climate Change Considerations</w:t>
      </w:r>
    </w:p>
    <w:p w14:paraId="412053FF" w14:textId="77777777" w:rsidR="000F7324" w:rsidRPr="006A108C" w:rsidRDefault="000F7324" w:rsidP="000F7324">
      <w:pPr>
        <w:pStyle w:val="ListBullet"/>
        <w:rPr>
          <w:b/>
          <w:bCs/>
        </w:rPr>
      </w:pPr>
      <w:r w:rsidRPr="006A108C">
        <w:rPr>
          <w:color w:val="4F81BD" w:themeColor="accent1"/>
        </w:rPr>
        <w:t xml:space="preserve">[Mandatory bullet(s)] </w:t>
      </w:r>
    </w:p>
    <w:p w14:paraId="10432832" w14:textId="77777777" w:rsidR="000F7324" w:rsidRPr="00E053C8" w:rsidRDefault="000F7324" w:rsidP="000F7324">
      <w:pPr>
        <w:pStyle w:val="Heading3"/>
      </w:pPr>
      <w:r w:rsidRPr="00E053C8">
        <w:t>Stock Advice</w:t>
      </w:r>
    </w:p>
    <w:bookmarkEnd w:id="0"/>
    <w:p w14:paraId="7B69AF5F" w14:textId="77777777" w:rsidR="000F7324" w:rsidRPr="006A108C" w:rsidRDefault="000F7324" w:rsidP="000F7324">
      <w:pPr>
        <w:pStyle w:val="ListBullet"/>
        <w:rPr>
          <w:b/>
          <w:bCs/>
        </w:rPr>
      </w:pPr>
      <w:r w:rsidRPr="006A108C">
        <w:rPr>
          <w:color w:val="4F81BD" w:themeColor="accent1"/>
        </w:rPr>
        <w:t xml:space="preserve">[Mandatory bullet(s)] </w:t>
      </w:r>
    </w:p>
    <w:p w14:paraId="2079CBF8" w14:textId="77777777" w:rsidR="000F7324" w:rsidRDefault="000F7324" w:rsidP="000F7324">
      <w:pPr>
        <w:pStyle w:val="BodyText"/>
      </w:pPr>
      <w:r w:rsidRPr="00FA4C55">
        <w:rPr>
          <w:rStyle w:val="Heading3Char"/>
        </w:rPr>
        <w:t>Other Management Questions</w:t>
      </w:r>
      <w:r>
        <w:t xml:space="preserve"> </w:t>
      </w:r>
      <w:r>
        <w:rPr>
          <w:color w:val="4F81BD" w:themeColor="accent1"/>
        </w:rPr>
        <w:t>[</w:t>
      </w:r>
      <w:r w:rsidRPr="001E6250">
        <w:rPr>
          <w:color w:val="4F81BD" w:themeColor="accent1"/>
        </w:rPr>
        <w:t>if applicable</w:t>
      </w:r>
      <w:r>
        <w:rPr>
          <w:color w:val="4F81BD" w:themeColor="accent1"/>
        </w:rPr>
        <w:t>, otherwise do not include]</w:t>
      </w:r>
    </w:p>
    <w:p w14:paraId="7B92B7B1" w14:textId="77777777" w:rsidR="000F7324" w:rsidRPr="001E6250" w:rsidRDefault="000F7324" w:rsidP="000F7324">
      <w:pPr>
        <w:pStyle w:val="ListBullet"/>
        <w:rPr>
          <w:rFonts w:eastAsiaTheme="minorEastAsia"/>
          <w:color w:val="4F81BD" w:themeColor="accent1"/>
        </w:rPr>
      </w:pPr>
      <w:bookmarkStart w:id="1" w:name="_Hlk150250599"/>
      <w:r>
        <w:rPr>
          <w:rStyle w:val="Style1Char"/>
          <w:rFonts w:eastAsiaTheme="minorHAnsi" w:cs="Arial"/>
          <w:b w:val="0"/>
          <w:color w:val="4F81BD" w:themeColor="accent1"/>
        </w:rPr>
        <w:t>[Other bullets if applicable]</w:t>
      </w:r>
    </w:p>
    <w:bookmarkEnd w:id="1"/>
    <w:p w14:paraId="4696CFDB" w14:textId="51D09FFD" w:rsidR="006012C6" w:rsidRPr="001E4A20" w:rsidRDefault="001E4A20" w:rsidP="006517A8">
      <w:pPr>
        <w:pStyle w:val="Heading2"/>
      </w:pPr>
      <w:r>
        <w:lastRenderedPageBreak/>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2" w:name="_Hlk150251490"/>
      <w:r>
        <w:rPr>
          <w:color w:val="4F81BD" w:themeColor="accent1"/>
        </w:rPr>
        <w:t xml:space="preserve">[Mandatory; </w:t>
      </w:r>
      <w:bookmarkStart w:id="3"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3"/>
      <w:r>
        <w:rPr>
          <w:color w:val="4F81BD" w:themeColor="accent1"/>
        </w:rPr>
        <w:t>See the Guidance Document for definitions.]</w:t>
      </w:r>
      <w:r w:rsidR="00262FE7" w:rsidRPr="00801E71">
        <w:rPr>
          <w:color w:val="4F81BD" w:themeColor="accent1"/>
        </w:rPr>
        <w:t xml:space="preserve"> </w:t>
      </w:r>
    </w:p>
    <w:bookmarkEnd w:id="2"/>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4"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4"/>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0B2D6DB8" w:rsidR="00093407" w:rsidRPr="00801E71" w:rsidRDefault="000F7324" w:rsidP="00093407">
      <w:pPr>
        <w:pStyle w:val="ListNumber"/>
        <w:numPr>
          <w:ilvl w:val="0"/>
          <w:numId w:val="0"/>
        </w:numPr>
        <w:rPr>
          <w:color w:val="4F81BD" w:themeColor="accent1"/>
        </w:rPr>
      </w:pPr>
      <w:r w:rsidRPr="000F7324">
        <w:rPr>
          <w:color w:val="4F81BD" w:themeColor="accent1"/>
          <w:lang w:val="en-CA"/>
        </w:rPr>
        <w:t>[Optional short summary of stock assessment methodology. Include the method of considering ecosystem variables. Include a reference to a Research Document or other publication, and/or footnote to the working paper. Maximum length 100 words.]</w:t>
      </w:r>
    </w:p>
    <w:p w14:paraId="291FA559" w14:textId="18529483" w:rsidR="00545297" w:rsidRPr="00543275" w:rsidRDefault="00545297" w:rsidP="00DD2355">
      <w:pPr>
        <w:pStyle w:val="Heading3"/>
      </w:pPr>
      <w:r w:rsidRPr="00543275">
        <w:t>Stock Structure Assumption</w:t>
      </w:r>
    </w:p>
    <w:p w14:paraId="6E161130" w14:textId="77777777" w:rsidR="000F7324" w:rsidRDefault="000F7324" w:rsidP="000F7324">
      <w:pPr>
        <w:pStyle w:val="BodyText"/>
        <w:rPr>
          <w:rFonts w:cs="Arial"/>
          <w:color w:val="4F81BD" w:themeColor="accent1"/>
        </w:rPr>
      </w:pPr>
      <w:bookmarkStart w:id="5" w:name="_Hlk153311139"/>
      <w:r w:rsidRPr="009B43FF">
        <w:rPr>
          <w:rFonts w:cs="Arial"/>
        </w:rPr>
        <w:t>Stock overview information:</w:t>
      </w:r>
      <w:bookmarkEnd w:id="5"/>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5F9E53EC" w14:textId="77777777" w:rsidR="000F7324" w:rsidRDefault="000F7324" w:rsidP="000F7324">
      <w:pPr>
        <w:pStyle w:val="BodyText"/>
        <w:rPr>
          <w:rFonts w:cs="Arial"/>
          <w:color w:val="4F81BD" w:themeColor="accent1"/>
        </w:rPr>
      </w:pPr>
      <w:r>
        <w:rPr>
          <w:rFonts w:cs="Arial"/>
          <w:color w:val="4F81BD" w:themeColor="accent1"/>
        </w:rPr>
        <w:t>[</w:t>
      </w:r>
      <w:r w:rsidRPr="00801E71">
        <w:rPr>
          <w:rFonts w:cs="Arial"/>
          <w:color w:val="4F81BD" w:themeColor="accent1"/>
        </w:rPr>
        <w:t>Mandatory.</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6" w:name="_Hlk150252237"/>
      <w:r>
        <w:lastRenderedPageBreak/>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6"/>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7"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7"/>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8"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8"/>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0B81617E" w14:textId="77777777" w:rsidR="000F7324" w:rsidRDefault="000F7324" w:rsidP="000F7324">
      <w:pPr>
        <w:keepNext/>
      </w:pPr>
      <w:r>
        <w:rPr>
          <w:noProof/>
        </w:rPr>
        <w:lastRenderedPageBreak/>
        <w:drawing>
          <wp:inline distT="0" distB="0" distL="0" distR="0" wp14:anchorId="43AB0079" wp14:editId="123DF6B5">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7D85DBC3" w14:textId="77777777" w:rsidR="000F7324" w:rsidRPr="00801E71" w:rsidRDefault="000F7324" w:rsidP="000F7324">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 xml:space="preserve">(A) Catch </w:t>
      </w:r>
      <w:r>
        <w:rPr>
          <w:rFonts w:cs="Arial"/>
          <w:color w:val="4F81BD" w:themeColor="accent1"/>
          <w:sz w:val="20"/>
          <w:szCs w:val="20"/>
        </w:rPr>
        <w:t>and</w:t>
      </w:r>
      <w:r w:rsidRPr="00801E71">
        <w:rPr>
          <w:rFonts w:cs="Arial"/>
          <w:color w:val="4F81BD" w:themeColor="accent1"/>
          <w:sz w:val="20"/>
          <w:szCs w:val="20"/>
        </w:rPr>
        <w:t xml:space="preserve">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(D) Recruitment (numbers).  </w:t>
      </w:r>
      <w:r w:rsidRPr="00801E71">
        <w:rPr>
          <w:rFonts w:cs="Arial"/>
          <w:bCs/>
          <w:color w:val="4F81BD" w:themeColor="accent1"/>
          <w:sz w:val="20"/>
          <w:szCs w:val="20"/>
        </w:rPr>
        <w:t xml:space="preserve"> </w:t>
      </w:r>
    </w:p>
    <w:p w14:paraId="134CC280" w14:textId="77777777" w:rsidR="000F7324" w:rsidRPr="00801E71" w:rsidRDefault="000F7324" w:rsidP="000F7324">
      <w:pPr>
        <w:pStyle w:val="BodyText"/>
        <w:rPr>
          <w:rStyle w:val="Style1Char"/>
          <w:rFonts w:eastAsiaTheme="minorEastAsia" w:cs="Arial"/>
          <w:color w:val="4F81BD" w:themeColor="accent1"/>
        </w:rPr>
      </w:pPr>
      <w:r>
        <w:rPr>
          <w:color w:val="4F81BD" w:themeColor="accent1"/>
        </w:rPr>
        <w:t>[</w:t>
      </w:r>
      <w:r w:rsidRPr="00801E71">
        <w:rPr>
          <w:color w:val="4F81BD" w:themeColor="accent1"/>
        </w:rPr>
        <w:t>Optional.</w:t>
      </w:r>
      <w:r>
        <w:rPr>
          <w:color w:val="4F81BD" w:themeColor="accent1"/>
        </w:rPr>
        <w:t xml:space="preserve"> </w:t>
      </w:r>
      <w:r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Pr="00801E71">
        <w:rPr>
          <w:rStyle w:val="Style1Char"/>
          <w:rFonts w:eastAsiaTheme="minorEastAsia" w:cs="Arial"/>
          <w:color w:val="4F81BD" w:themeColor="accent1"/>
        </w:rPr>
        <w:t xml:space="preserve"> </w:t>
      </w:r>
    </w:p>
    <w:p w14:paraId="25E0B006" w14:textId="72B31B49" w:rsidR="00051C98" w:rsidRPr="00801E71" w:rsidRDefault="000F7324" w:rsidP="000F7324">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9"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0" w:name="_Hlk150255575"/>
      <w:bookmarkEnd w:id="9"/>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0"/>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1"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lastRenderedPageBreak/>
        <w:t xml:space="preserve">History of </w:t>
      </w:r>
      <w:r w:rsidR="008953F8">
        <w:rPr>
          <w:rStyle w:val="Style1Char"/>
          <w:b/>
        </w:rPr>
        <w:t>Freshwater Habitat Impacts</w:t>
      </w:r>
    </w:p>
    <w:bookmarkEnd w:id="11"/>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466E3F1A" w:rsidR="0036415E" w:rsidRPr="000027DA" w:rsidRDefault="00D8678A" w:rsidP="00DD2355">
      <w:pPr>
        <w:pStyle w:val="Heading3"/>
        <w:rPr>
          <w:rStyle w:val="Style1Char"/>
          <w:b/>
          <w:sz w:val="24"/>
          <w:lang w:val="en-CA"/>
        </w:rPr>
      </w:pPr>
      <w:r>
        <w:rPr>
          <w:rStyle w:val="Style1Char"/>
          <w:b/>
          <w:sz w:val="24"/>
          <w:lang w:val="en-CA"/>
        </w:rPr>
        <w:t>Ecosystem</w:t>
      </w:r>
      <w:r w:rsidR="00510B14" w:rsidRPr="0508917D">
        <w:rPr>
          <w:rStyle w:val="Style1Char"/>
          <w:b/>
          <w:sz w:val="24"/>
          <w:lang w:val="en-CA"/>
        </w:rPr>
        <w:t xml:space="preserve">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2" w:name="_Toc127900373"/>
      <w:r w:rsidRPr="006517A8">
        <w:rPr>
          <w:rStyle w:val="Heading2Char"/>
          <w:b/>
          <w:bCs/>
        </w:rPr>
        <w:t>PROCEDURE FOR INTERIM YEAR UPDATES</w:t>
      </w:r>
      <w:bookmarkEnd w:id="12"/>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3"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20D2720D" w14:textId="77777777" w:rsidR="00D8678A" w:rsidRPr="00051C98" w:rsidRDefault="00D8678A" w:rsidP="00D8678A">
      <w:pPr>
        <w:pStyle w:val="BodyText"/>
        <w:rPr>
          <w:color w:val="4F81BD" w:themeColor="accent1"/>
        </w:rPr>
      </w:pPr>
      <w:r>
        <w:rPr>
          <w:color w:val="4F81BD" w:themeColor="accent1"/>
        </w:rPr>
        <w:t>[</w:t>
      </w:r>
      <w:r w:rsidRPr="00051C98">
        <w:rPr>
          <w:color w:val="4F81BD" w:themeColor="accent1"/>
        </w:rPr>
        <w:t>Mandatory.</w:t>
      </w:r>
      <w:r>
        <w:rPr>
          <w:color w:val="4F81BD" w:themeColor="accent1"/>
        </w:rPr>
        <w:t>]</w:t>
      </w:r>
    </w:p>
    <w:p w14:paraId="446E1166" w14:textId="77777777" w:rsidR="00D8678A" w:rsidRPr="00051C98" w:rsidRDefault="00D8678A" w:rsidP="00D8678A">
      <w:pPr>
        <w:pStyle w:val="BodyText"/>
        <w:rPr>
          <w:color w:val="4F81BD" w:themeColor="accent1"/>
        </w:rPr>
      </w:pPr>
      <w:r>
        <w:rPr>
          <w:color w:val="4F81BD" w:themeColor="accent1"/>
        </w:rPr>
        <w:t>[</w:t>
      </w:r>
      <w:r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 xml:space="preserve">. </w:t>
      </w:r>
      <w:bookmarkStart w:id="14" w:name="_Hlk153311411"/>
      <w:r>
        <w:rPr>
          <w:color w:val="4F81BD" w:themeColor="accent1"/>
        </w:rPr>
        <w:t>References to the unpublished working paper should be integrated as footnotes through this document.</w:t>
      </w:r>
      <w:bookmarkEnd w:id="14"/>
      <w:r>
        <w:rPr>
          <w:color w:val="4F81BD" w:themeColor="accent1"/>
        </w:rPr>
        <w:t>]</w:t>
      </w:r>
    </w:p>
    <w:p w14:paraId="4D9E4421" w14:textId="77777777" w:rsidR="00D8678A" w:rsidRPr="00051C98" w:rsidRDefault="00D8678A" w:rsidP="00D8678A">
      <w:pPr>
        <w:pStyle w:val="BodyText"/>
        <w:rPr>
          <w:rStyle w:val="Hyperlink"/>
          <w:color w:val="4F81BD" w:themeColor="accent1"/>
        </w:rPr>
      </w:pPr>
      <w:r w:rsidRPr="00051C98">
        <w:rPr>
          <w:color w:val="4F81BD" w:themeColor="accent1"/>
          <w:lang w:val="en-CA"/>
        </w:rPr>
        <w:t>[</w:t>
      </w:r>
      <w:r w:rsidRPr="00051C98">
        <w:rPr>
          <w:color w:val="4F81BD" w:themeColor="accent1"/>
        </w:rPr>
        <w:t xml:space="preserve">References must be formatted according to the </w:t>
      </w:r>
      <w:r w:rsidRPr="00051C98">
        <w:rPr>
          <w:i/>
          <w:color w:val="4F81BD" w:themeColor="accent1"/>
          <w:shd w:val="clear" w:color="auto" w:fill="E6E6E6"/>
        </w:rPr>
        <w:fldChar w:fldCharType="begin"/>
      </w:r>
      <w:r w:rsidRPr="00051C98">
        <w:rPr>
          <w:i/>
          <w:color w:val="4F81BD" w:themeColor="accent1"/>
        </w:rPr>
        <w:instrText xml:space="preserve"> HYPERLINK "https://waves-vagues.dfo-mpo.gc.ca/Library/333125.pdf" </w:instrText>
      </w:r>
      <w:r w:rsidRPr="00051C98">
        <w:rPr>
          <w:i/>
          <w:color w:val="4F81BD" w:themeColor="accent1"/>
          <w:shd w:val="clear" w:color="auto" w:fill="E6E6E6"/>
        </w:rPr>
      </w:r>
      <w:r w:rsidRPr="00051C98">
        <w:rPr>
          <w:i/>
          <w:color w:val="4F81BD" w:themeColor="accent1"/>
          <w:shd w:val="clear" w:color="auto" w:fill="E6E6E6"/>
        </w:rPr>
        <w:fldChar w:fldCharType="separate"/>
      </w:r>
      <w:r w:rsidRPr="00051C98">
        <w:rPr>
          <w:rStyle w:val="Hyperlink"/>
          <w:i/>
          <w:color w:val="4F81BD" w:themeColor="accent1"/>
        </w:rPr>
        <w:t>Guide for the Production of Fisheries and Oceans Canada Reports</w:t>
      </w:r>
      <w:r w:rsidRPr="00051C98">
        <w:rPr>
          <w:rStyle w:val="Hyperlink"/>
          <w:color w:val="4F81BD" w:themeColor="accent1"/>
        </w:rPr>
        <w:t>.]</w:t>
      </w:r>
    </w:p>
    <w:p w14:paraId="12AAD0D5" w14:textId="1D845994" w:rsidR="00A5562E" w:rsidRDefault="00D8678A" w:rsidP="00D8678A">
      <w:pPr>
        <w:pStyle w:val="BodyText"/>
        <w:rPr>
          <w:rFonts w:eastAsiaTheme="minorHAnsi"/>
          <w:b/>
          <w:caps/>
          <w:sz w:val="28"/>
          <w:lang w:val="en-CA"/>
        </w:rPr>
      </w:pPr>
      <w:r w:rsidRPr="00051C98">
        <w:rPr>
          <w:i/>
          <w:iCs/>
          <w:color w:val="4F81BD" w:themeColor="accent1"/>
          <w:shd w:val="clear" w:color="auto" w:fill="E6E6E6"/>
        </w:rPr>
        <w:lastRenderedPageBreak/>
        <w:fldChar w:fldCharType="end"/>
      </w:r>
      <w:r w:rsidRPr="00051C98">
        <w:rPr>
          <w:color w:val="4F81BD" w:themeColor="accent1"/>
        </w:rPr>
        <w:t>[References listed in the References Cited section should be publicly 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Pr>
          <w:color w:val="4F81BD" w:themeColor="accent1"/>
        </w:rPr>
        <w:t xml:space="preserve"> or working papers</w:t>
      </w:r>
      <w:r w:rsidRPr="00051C98">
        <w:rPr>
          <w:color w:val="4F81BD" w:themeColor="accent1"/>
        </w:rPr>
        <w:t>.]</w:t>
      </w:r>
      <w:bookmarkEnd w:id="13"/>
    </w:p>
    <w:p w14:paraId="11F83C66" w14:textId="1AB7A7BD" w:rsidR="00EE3838" w:rsidRPr="00D223C8" w:rsidRDefault="00BC1664" w:rsidP="006517A8">
      <w:pPr>
        <w:pStyle w:val="Heading2"/>
      </w:pPr>
      <w:r w:rsidRPr="00D223C8">
        <w:t>THIS REPORT IS AVAILABLE FROM THE:</w:t>
      </w:r>
    </w:p>
    <w:p w14:paraId="67779B6E" w14:textId="77777777" w:rsidR="00D8678A" w:rsidRPr="00051C98" w:rsidRDefault="00D8678A" w:rsidP="00D8678A">
      <w:pPr>
        <w:pStyle w:val="BodyTextCentered"/>
        <w:rPr>
          <w:color w:val="4F81BD" w:themeColor="accent1"/>
        </w:rPr>
      </w:pPr>
      <w:r w:rsidRPr="00051C98">
        <w:rPr>
          <w:color w:val="4F81BD" w:themeColor="accent1"/>
        </w:rPr>
        <w:t>Center for Science Advice (CSA)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Name of Region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Fisheries and Oceans Canada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Complete mailing address of CSA Office</w:t>
      </w:r>
    </w:p>
    <w:p w14:paraId="7292A6E5" w14:textId="77777777" w:rsidR="00D8678A" w:rsidRPr="0033203F" w:rsidRDefault="00D8678A" w:rsidP="00D8678A">
      <w:pPr>
        <w:pStyle w:val="BodyTextCentered"/>
        <w:rPr>
          <w:rStyle w:val="Hyperlink"/>
        </w:rPr>
      </w:pPr>
      <w:r w:rsidRPr="00051C98">
        <w:rPr>
          <w:color w:val="4F81BD" w:themeColor="accent1"/>
        </w:rP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376859C5">
        <w:t xml:space="preserve">Internet address: </w:t>
      </w:r>
      <w:r w:rsidRPr="376859C5">
        <w:rPr>
          <w:color w:val="2B579A"/>
          <w:shd w:val="clear" w:color="auto" w:fill="E6E6E6"/>
        </w:rPr>
        <w:fldChar w:fldCharType="begin" w:fldLock="1"/>
      </w:r>
      <w:r w:rsidRPr="0033203F">
        <w:rPr>
          <w:szCs w:val="22"/>
        </w:rPr>
        <w:instrText>HYPERLINK "http://www.dfo-mpo.gc.ca/csas-sccs/" \o "Fisheries and Oceans Canada / Canadian Science Advisory Secretariat"</w:instrText>
      </w:r>
      <w:r w:rsidRPr="376859C5">
        <w:rPr>
          <w:color w:val="2B579A"/>
          <w:shd w:val="clear" w:color="auto" w:fill="E6E6E6"/>
        </w:rPr>
      </w:r>
      <w:r w:rsidRPr="376859C5">
        <w:rPr>
          <w:color w:val="2B579A"/>
          <w:shd w:val="clear" w:color="auto" w:fill="E6E6E6"/>
        </w:rPr>
        <w:fldChar w:fldCharType="separate"/>
      </w:r>
      <w:r w:rsidRPr="376859C5">
        <w:rPr>
          <w:rStyle w:val="Hyperlink"/>
        </w:rPr>
        <w:t>www.dfo-mpo.gc.ca/csas-sccs/</w:t>
      </w:r>
    </w:p>
    <w:p w14:paraId="7F199A85" w14:textId="77777777" w:rsidR="00D8678A" w:rsidRDefault="00D8678A" w:rsidP="00D8678A">
      <w:pPr>
        <w:pStyle w:val="BodyTextCentered"/>
      </w:pPr>
      <w:r w:rsidRPr="376859C5">
        <w:rPr>
          <w:color w:val="2B579A"/>
          <w:shd w:val="clear" w:color="auto" w:fill="E6E6E6"/>
        </w:rPr>
        <w:fldChar w:fldCharType="end"/>
      </w:r>
      <w:r>
        <w:t xml:space="preserve">ISSN </w:t>
      </w:r>
      <w:proofErr w:type="spellStart"/>
      <w:r w:rsidRPr="00286839">
        <w:rPr>
          <w:color w:val="4F81BD" w:themeColor="accent1"/>
        </w:rPr>
        <w:t>nnnn-nnnn</w:t>
      </w:r>
      <w:proofErr w:type="spellEnd"/>
      <w:r>
        <w:br/>
      </w:r>
      <w:r w:rsidRPr="00596EBD">
        <w:t>ISBN 978-0-660-</w:t>
      </w:r>
      <w:r w:rsidRPr="008A5E82">
        <w:rPr>
          <w:color w:val="4F81BD" w:themeColor="accent1"/>
        </w:rPr>
        <w:t>xxxxx-x</w:t>
      </w:r>
      <w:r w:rsidRPr="00596EBD">
        <w:tab/>
        <w:t>Cat. No. Fs70-7/2024-</w:t>
      </w:r>
      <w:r w:rsidRPr="008A5E82">
        <w:rPr>
          <w:color w:val="4F81BD" w:themeColor="accent1"/>
        </w:rPr>
        <w:t>nnn</w:t>
      </w:r>
      <w:r w:rsidRPr="00596EBD">
        <w:t>E-PDF</w:t>
      </w:r>
      <w:r w:rsidRPr="00596EBD">
        <w:br/>
        <w:t>© His Majesty the King in Right of Canada, as represented by the Minister of the</w:t>
      </w:r>
      <w:r w:rsidRPr="00596EBD">
        <w:br/>
        <w:t>Department of Fisheries and Oceans, 2024</w:t>
      </w:r>
    </w:p>
    <w:p w14:paraId="26BE9A0C" w14:textId="77777777" w:rsidR="00D8678A" w:rsidRDefault="00D8678A" w:rsidP="00D8678A">
      <w:pPr>
        <w:pStyle w:val="BodyTextCentered"/>
      </w:pP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4C61E4D5">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14:paraId="04F5FDCA" w14:textId="77777777" w:rsidR="00D8678A" w:rsidRPr="00C859C6" w:rsidRDefault="00D8678A" w:rsidP="00D8678A">
      <w:pPr>
        <w:pStyle w:val="BodyText"/>
      </w:pPr>
      <w:r>
        <w:t>Correct Citation for this Publication:</w:t>
      </w:r>
    </w:p>
    <w:p w14:paraId="6C15E78D" w14:textId="77777777" w:rsidR="00D8678A" w:rsidRPr="00F8199F" w:rsidRDefault="00D8678A" w:rsidP="00D8678A">
      <w:pPr>
        <w:pStyle w:val="citation"/>
        <w:rPr>
          <w:lang w:val="fr-FR"/>
        </w:rPr>
      </w:pPr>
      <w:r>
        <w:t xml:space="preserve">DFO. </w:t>
      </w:r>
      <w:r>
        <w:rPr>
          <w:color w:val="4F81BD" w:themeColor="accent1"/>
        </w:rPr>
        <w:t>2024</w:t>
      </w:r>
      <w:r w:rsidRPr="00596EBD">
        <w:rPr>
          <w:color w:val="4F81BD" w:themeColor="accent1"/>
        </w:rPr>
        <w:t>.  &lt;&lt;insert title here – title must be exactly as it appears on the cover page, but in title case&gt;&gt;.</w:t>
      </w:r>
      <w:r w:rsidRPr="00596EBD">
        <w:t xml:space="preserve"> DFO Can. Sci. </w:t>
      </w:r>
      <w:proofErr w:type="spellStart"/>
      <w:r w:rsidRPr="00596EBD">
        <w:t>Advis</w:t>
      </w:r>
      <w:proofErr w:type="spellEnd"/>
      <w:r w:rsidRPr="00596EBD">
        <w:t xml:space="preserve">. Sec. </w:t>
      </w:r>
      <w:r>
        <w:t>[</w:t>
      </w:r>
      <w:r w:rsidRPr="00596EBD">
        <w:t xml:space="preserve">Sci. </w:t>
      </w:r>
      <w:proofErr w:type="spellStart"/>
      <w:r w:rsidRPr="00596EBD">
        <w:t>Advis</w:t>
      </w:r>
      <w:proofErr w:type="spellEnd"/>
      <w:r w:rsidRPr="00596EBD">
        <w:t>. Rep.</w:t>
      </w:r>
      <w:r>
        <w:t xml:space="preserve"> or Sci. </w:t>
      </w:r>
      <w:r w:rsidRPr="00F8199F">
        <w:rPr>
          <w:lang w:val="fr-FR"/>
        </w:rPr>
        <w:t xml:space="preserve">Resp.] </w:t>
      </w:r>
      <w:r w:rsidRPr="00F8199F">
        <w:rPr>
          <w:color w:val="4F81BD" w:themeColor="accent1"/>
          <w:lang w:val="fr-FR"/>
        </w:rPr>
        <w:t>2024/</w:t>
      </w:r>
      <w:proofErr w:type="spellStart"/>
      <w:r w:rsidRPr="00F8199F">
        <w:rPr>
          <w:color w:val="4F81BD" w:themeColor="accent1"/>
          <w:lang w:val="fr-FR"/>
        </w:rPr>
        <w:t>nnn</w:t>
      </w:r>
      <w:proofErr w:type="spellEnd"/>
      <w:r w:rsidRPr="00F8199F">
        <w:rPr>
          <w:color w:val="4F81BD" w:themeColor="accent1"/>
          <w:lang w:val="fr-FR"/>
        </w:rPr>
        <w:t>. (Style: citation)</w:t>
      </w:r>
    </w:p>
    <w:p w14:paraId="1F60FCC4" w14:textId="77777777" w:rsidR="00D8678A" w:rsidRPr="00E159E3" w:rsidRDefault="00D8678A" w:rsidP="00D8678A">
      <w:pPr>
        <w:pStyle w:val="BodyTextItalic"/>
      </w:pPr>
      <w:r>
        <w:t>Aussi disponible en français :</w:t>
      </w:r>
    </w:p>
    <w:p w14:paraId="66CDBE72" w14:textId="77777777" w:rsidR="00D8678A" w:rsidRPr="00F8199F" w:rsidRDefault="00D8678A" w:rsidP="00D8678A">
      <w:pPr>
        <w:pStyle w:val="citation-translated"/>
        <w:rPr>
          <w:color w:val="4F81BD" w:themeColor="accent1"/>
          <w:lang w:val="en-US"/>
        </w:rPr>
      </w:pPr>
      <w:r w:rsidRPr="009C3E2E">
        <w:rPr>
          <w:lang w:val="fr-CA"/>
        </w:rPr>
        <w:t xml:space="preserve">MPO. </w:t>
      </w:r>
      <w:r>
        <w:rPr>
          <w:color w:val="4F81BD" w:themeColor="accent1"/>
          <w:lang w:val="fr-CA"/>
        </w:rPr>
        <w:t>2024</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Pr>
          <w:lang w:val="fr-CA"/>
        </w:rPr>
        <w:t>.</w:t>
      </w:r>
      <w:r w:rsidRPr="009C3E2E">
        <w:rPr>
          <w:lang w:val="fr-CA"/>
        </w:rPr>
        <w:t xml:space="preserve"> </w:t>
      </w:r>
      <w:r>
        <w:rPr>
          <w:lang w:val="fr-CA"/>
        </w:rPr>
        <w:t>[</w:t>
      </w:r>
      <w:r w:rsidRPr="009C3E2E">
        <w:rPr>
          <w:lang w:val="fr-CA"/>
        </w:rPr>
        <w:t xml:space="preserve">Avis </w:t>
      </w:r>
      <w:proofErr w:type="spellStart"/>
      <w:r w:rsidRPr="009C3E2E">
        <w:rPr>
          <w:lang w:val="fr-CA"/>
        </w:rPr>
        <w:t>sci</w:t>
      </w:r>
      <w:proofErr w:type="spellEnd"/>
      <w:r w:rsidRPr="009C3E2E">
        <w:rPr>
          <w:lang w:val="fr-CA"/>
        </w:rPr>
        <w:t>.</w:t>
      </w:r>
      <w:r>
        <w:rPr>
          <w:lang w:val="fr-CA"/>
        </w:rPr>
        <w:t xml:space="preserve"> or </w:t>
      </w:r>
      <w:proofErr w:type="spellStart"/>
      <w:r w:rsidRPr="00B40F63">
        <w:rPr>
          <w:lang w:val="fr-CA"/>
        </w:rPr>
        <w:t>Rép</w:t>
      </w:r>
      <w:proofErr w:type="spellEnd"/>
      <w:r w:rsidRPr="00B40F63">
        <w:rPr>
          <w:lang w:val="fr-CA"/>
        </w:rPr>
        <w:t xml:space="preserve">. des </w:t>
      </w:r>
      <w:proofErr w:type="spellStart"/>
      <w:r w:rsidRPr="00B40F63">
        <w:rPr>
          <w:lang w:val="fr-CA"/>
        </w:rPr>
        <w:t>Sci</w:t>
      </w:r>
      <w:proofErr w:type="spellEnd"/>
      <w:r w:rsidRPr="00B40F63">
        <w:rPr>
          <w:lang w:val="fr-CA"/>
        </w:rPr>
        <w:t>.</w:t>
      </w:r>
      <w:r>
        <w:rPr>
          <w:lang w:val="fr-CA"/>
        </w:rPr>
        <w:t xml:space="preserve">] </w:t>
      </w:r>
      <w:r w:rsidRPr="00F8199F">
        <w:rPr>
          <w:color w:val="4F81BD" w:themeColor="accent1"/>
          <w:lang w:val="fr-FR"/>
        </w:rPr>
        <w:t>2024/</w:t>
      </w:r>
      <w:proofErr w:type="spellStart"/>
      <w:r w:rsidRPr="00F8199F">
        <w:rPr>
          <w:color w:val="4F81BD" w:themeColor="accent1"/>
          <w:lang w:val="fr-FR"/>
        </w:rPr>
        <w:t>nnn</w:t>
      </w:r>
      <w:proofErr w:type="spellEnd"/>
      <w:r w:rsidRPr="00F8199F">
        <w:rPr>
          <w:color w:val="4F81BD" w:themeColor="accent1"/>
          <w:lang w:val="fr-FR"/>
        </w:rPr>
        <w:t xml:space="preserve">. </w:t>
      </w:r>
      <w:r w:rsidRPr="00E053C8">
        <w:rPr>
          <w:color w:val="4F81BD" w:themeColor="accent1"/>
          <w:lang w:val="en-US"/>
        </w:rPr>
        <w:t>(Style: citation – other language)</w:t>
      </w:r>
    </w:p>
    <w:p w14:paraId="7E10140C" w14:textId="77777777" w:rsidR="00D8678A" w:rsidRPr="00CB3030" w:rsidRDefault="00D8678A" w:rsidP="00D8678A">
      <w:pPr>
        <w:pStyle w:val="BodyTextItalic"/>
        <w:rPr>
          <w:lang w:val="en-US"/>
        </w:rPr>
      </w:pPr>
      <w:r w:rsidRPr="00CB3030">
        <w:rPr>
          <w:lang w:val="en-US"/>
        </w:rPr>
        <w:t xml:space="preserve">Inuktitut </w:t>
      </w:r>
      <w:proofErr w:type="spellStart"/>
      <w:r w:rsidRPr="00CB3030">
        <w:rPr>
          <w:lang w:val="en-US"/>
        </w:rPr>
        <w:t>Atuinnaummijuq</w:t>
      </w:r>
      <w:proofErr w:type="spellEnd"/>
      <w:r w:rsidRPr="00CB3030">
        <w:rPr>
          <w:lang w:val="en-US"/>
        </w:rPr>
        <w:t>:</w:t>
      </w:r>
      <w:r>
        <w:rPr>
          <w:lang w:val="en-US"/>
        </w:rPr>
        <w:t xml:space="preserve"> [if applicable]</w:t>
      </w:r>
    </w:p>
    <w:p w14:paraId="49DDFB22" w14:textId="77777777" w:rsidR="00D8678A" w:rsidRPr="00E053C8" w:rsidRDefault="00D8678A" w:rsidP="00D8678A">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Inuktitut citation here. (Style: citation – other language)</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4"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5" w:name="_Toc436400532"/>
      <w:r w:rsidRPr="00CA28AD">
        <w:t>LAYOUT REQUIREMENTS (FORMA</w:t>
      </w:r>
      <w:r>
        <w:t>T</w:t>
      </w:r>
      <w:r w:rsidRPr="00CA28AD">
        <w:t>TING AND STYLES)</w:t>
      </w:r>
      <w:bookmarkEnd w:id="15"/>
    </w:p>
    <w:p w14:paraId="3D57EEAF" w14:textId="787D431B" w:rsidR="00FB39BD" w:rsidRPr="00CA28AD" w:rsidRDefault="00FB39BD" w:rsidP="006517A8">
      <w:pPr>
        <w:pStyle w:val="Heading2"/>
      </w:pPr>
      <w:bookmarkStart w:id="16" w:name="_Toc436400534"/>
      <w:r w:rsidRPr="00CA28AD">
        <w:t>HEADING 2: ARIAL, SIZE 14, BOLD, LEFT ALIGNED, ALL CAPS, PARAGRAPH SPACING 12 PT (0.17 IN, 0.42 CM) BEFORE AND 6 PT (0.08 IN, 0.21 CM) AFTER</w:t>
      </w:r>
      <w:bookmarkEnd w:id="16"/>
    </w:p>
    <w:p w14:paraId="716C8F1B" w14:textId="669D2A16" w:rsidR="00FB39BD" w:rsidRPr="00CA28AD" w:rsidRDefault="00FB39BD" w:rsidP="00DD2355">
      <w:pPr>
        <w:pStyle w:val="Heading3"/>
      </w:pPr>
      <w:bookmarkStart w:id="17" w:name="_Toc436400535"/>
      <w:r w:rsidRPr="00CA28AD">
        <w:t>Heading 3: Arial, 12, bold, left-aligned, paragraph spacing 12 pt (0.17 in, 0.42 cm) before and 6 pt (0.08 in, 0.21 cm) after</w:t>
      </w:r>
      <w:bookmarkEnd w:id="17"/>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E74C16" w:rsidRDefault="00FB39BD" w:rsidP="00E74C16">
      <w:pPr>
        <w:pStyle w:val="TableCaption"/>
      </w:pPr>
      <w:r w:rsidRPr="00E74C16">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10EFBED" w:rsidR="00FB39BD" w:rsidRDefault="00FB39BD" w:rsidP="006517A8">
      <w:pPr>
        <w:pStyle w:val="Heading2"/>
        <w:rPr>
          <w:rStyle w:val="StyleStyleHelvetica10ptBody"/>
          <w:caps w:val="0"/>
          <w:sz w:val="28"/>
        </w:rPr>
      </w:pPr>
      <w:r w:rsidRPr="00FB39BD">
        <w:rPr>
          <w:rStyle w:val="StyleStyleHelvetica10ptBody"/>
          <w:caps w:val="0"/>
          <w:sz w:val="28"/>
        </w:rPr>
        <w:lastRenderedPageBreak/>
        <w:t>ALL MANDATORY SECTIONS ARE INCLUDED AND LISTED IN THE CORRECT ORDER</w:t>
      </w:r>
    </w:p>
    <w:p w14:paraId="66E3A07E" w14:textId="4590E31B" w:rsidR="009D7075" w:rsidRDefault="009D7075" w:rsidP="009D7075">
      <w:pPr>
        <w:rPr>
          <w:lang w:val="en-CA"/>
        </w:rPr>
      </w:pPr>
    </w:p>
    <w:p w14:paraId="62655AC6" w14:textId="71A8B22C" w:rsidR="009D7075" w:rsidRPr="009D7075" w:rsidRDefault="009D7075" w:rsidP="009D7075">
      <w:pPr>
        <w:pStyle w:val="ListParagraph"/>
        <w:numPr>
          <w:ilvl w:val="0"/>
          <w:numId w:val="12"/>
        </w:numPr>
        <w:rPr>
          <w:lang w:val="en-CA"/>
        </w:rPr>
      </w:pPr>
      <w:proofErr w:type="spellStart"/>
      <w:r>
        <w:rPr>
          <w:lang w:val="en-CA"/>
        </w:rPr>
        <w:t>u</w:t>
      </w:r>
      <w:r w:rsidRPr="009D7075">
        <w:rPr>
          <w:lang w:val="en-CA"/>
        </w:rPr>
        <w:t>l</w:t>
      </w:r>
      <w:proofErr w:type="spellEnd"/>
      <w:r w:rsidRPr="009D7075">
        <w:rPr>
          <w:lang w:val="en-CA"/>
        </w:rPr>
        <w:t xml:space="preserve"> item 1</w:t>
      </w:r>
    </w:p>
    <w:p w14:paraId="146B8C16" w14:textId="7055408B" w:rsidR="009D7075" w:rsidRPr="009D7075" w:rsidRDefault="009D7075" w:rsidP="009D7075">
      <w:pPr>
        <w:pStyle w:val="ListParagraph"/>
        <w:numPr>
          <w:ilvl w:val="1"/>
          <w:numId w:val="12"/>
        </w:numPr>
        <w:rPr>
          <w:lang w:val="en-CA"/>
        </w:rPr>
      </w:pPr>
      <w:proofErr w:type="spellStart"/>
      <w:r>
        <w:rPr>
          <w:lang w:val="en-CA"/>
        </w:rPr>
        <w:t>u</w:t>
      </w:r>
      <w:r w:rsidRPr="009D7075">
        <w:rPr>
          <w:lang w:val="en-CA"/>
        </w:rPr>
        <w:t>l</w:t>
      </w:r>
      <w:proofErr w:type="spellEnd"/>
      <w:r w:rsidRPr="009D7075">
        <w:rPr>
          <w:lang w:val="en-CA"/>
        </w:rPr>
        <w:t xml:space="preserve"> item 2</w:t>
      </w:r>
    </w:p>
    <w:p w14:paraId="2B4580AC" w14:textId="18B36242" w:rsidR="009D7075" w:rsidRDefault="009D7075" w:rsidP="009D7075">
      <w:pPr>
        <w:pStyle w:val="ListParagraph"/>
        <w:numPr>
          <w:ilvl w:val="2"/>
          <w:numId w:val="12"/>
        </w:numPr>
        <w:rPr>
          <w:lang w:val="en-CA"/>
        </w:rPr>
      </w:pPr>
      <w:proofErr w:type="spellStart"/>
      <w:r>
        <w:rPr>
          <w:lang w:val="en-CA"/>
        </w:rPr>
        <w:t>u</w:t>
      </w:r>
      <w:r w:rsidRPr="009D7075">
        <w:rPr>
          <w:lang w:val="en-CA"/>
        </w:rPr>
        <w:t>l</w:t>
      </w:r>
      <w:proofErr w:type="spellEnd"/>
      <w:r w:rsidRPr="009D7075">
        <w:rPr>
          <w:lang w:val="en-CA"/>
        </w:rPr>
        <w:t xml:space="preserve"> item 3</w:t>
      </w:r>
    </w:p>
    <w:p w14:paraId="34CD4157" w14:textId="5214B046" w:rsidR="009D7075" w:rsidRDefault="009D7075" w:rsidP="009D7075">
      <w:pPr>
        <w:rPr>
          <w:lang w:val="en-CA"/>
        </w:rPr>
      </w:pPr>
    </w:p>
    <w:p w14:paraId="7EBB49E3" w14:textId="720E8F36" w:rsidR="009D7075" w:rsidRDefault="009D7075" w:rsidP="009D7075">
      <w:pPr>
        <w:rPr>
          <w:lang w:val="en-CA"/>
        </w:rPr>
      </w:pPr>
    </w:p>
    <w:p w14:paraId="3398ED4D" w14:textId="2532E11A" w:rsidR="009D7075" w:rsidRPr="009D7075" w:rsidRDefault="009D7075" w:rsidP="009D7075">
      <w:pPr>
        <w:pStyle w:val="ListParagraph"/>
        <w:numPr>
          <w:ilvl w:val="0"/>
          <w:numId w:val="16"/>
        </w:numPr>
        <w:rPr>
          <w:lang w:val="en-CA"/>
        </w:rPr>
      </w:pPr>
      <w:proofErr w:type="spellStart"/>
      <w:r w:rsidRPr="009D7075">
        <w:rPr>
          <w:lang w:val="en-CA"/>
        </w:rPr>
        <w:t>ol</w:t>
      </w:r>
      <w:proofErr w:type="spellEnd"/>
      <w:r w:rsidRPr="009D7075">
        <w:rPr>
          <w:lang w:val="en-CA"/>
        </w:rPr>
        <w:t xml:space="preserve"> item 1</w:t>
      </w:r>
    </w:p>
    <w:p w14:paraId="2BF26BA7" w14:textId="676F3432" w:rsidR="009D7075" w:rsidRPr="009D7075" w:rsidRDefault="009D7075" w:rsidP="009D7075">
      <w:pPr>
        <w:pStyle w:val="ListParagraph"/>
        <w:numPr>
          <w:ilvl w:val="1"/>
          <w:numId w:val="16"/>
        </w:numPr>
        <w:rPr>
          <w:lang w:val="en-CA"/>
        </w:rPr>
      </w:pPr>
      <w:proofErr w:type="spellStart"/>
      <w:r w:rsidRPr="009D7075">
        <w:rPr>
          <w:lang w:val="en-CA"/>
        </w:rPr>
        <w:t>ol</w:t>
      </w:r>
      <w:proofErr w:type="spellEnd"/>
      <w:r w:rsidRPr="009D7075">
        <w:rPr>
          <w:lang w:val="en-CA"/>
        </w:rPr>
        <w:t xml:space="preserve"> item 2</w:t>
      </w:r>
    </w:p>
    <w:p w14:paraId="303240E0" w14:textId="42F23342" w:rsidR="009D7075" w:rsidRPr="009D7075" w:rsidRDefault="009D7075" w:rsidP="009D7075">
      <w:pPr>
        <w:pStyle w:val="ListParagraph"/>
        <w:numPr>
          <w:ilvl w:val="2"/>
          <w:numId w:val="16"/>
        </w:numPr>
        <w:rPr>
          <w:lang w:val="en-CA"/>
        </w:rPr>
      </w:pPr>
      <w:proofErr w:type="spellStart"/>
      <w:r w:rsidRPr="009D7075">
        <w:rPr>
          <w:lang w:val="en-CA"/>
        </w:rPr>
        <w:t>ol</w:t>
      </w:r>
      <w:proofErr w:type="spellEnd"/>
      <w:r w:rsidRPr="009D7075">
        <w:rPr>
          <w:lang w:val="en-CA"/>
        </w:rPr>
        <w:t xml:space="preserve"> item 3</w:t>
      </w:r>
    </w:p>
    <w:sectPr w:rsidR="009D7075" w:rsidRPr="009D7075" w:rsidSect="00196A8C">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423A" w14:textId="77777777" w:rsidR="00610FF3" w:rsidRDefault="00610FF3">
      <w:r>
        <w:separator/>
      </w:r>
    </w:p>
    <w:p w14:paraId="62426729" w14:textId="77777777" w:rsidR="00610FF3" w:rsidRDefault="00610FF3"/>
    <w:p w14:paraId="287C83A9" w14:textId="77777777" w:rsidR="00610FF3" w:rsidRDefault="00610FF3"/>
    <w:p w14:paraId="4BD3B639" w14:textId="77777777" w:rsidR="00610FF3" w:rsidRDefault="00610FF3"/>
  </w:endnote>
  <w:endnote w:type="continuationSeparator" w:id="0">
    <w:p w14:paraId="3E4E926E" w14:textId="77777777" w:rsidR="00610FF3" w:rsidRDefault="00610FF3">
      <w:r>
        <w:continuationSeparator/>
      </w:r>
    </w:p>
    <w:p w14:paraId="67545ADA" w14:textId="77777777" w:rsidR="00610FF3" w:rsidRDefault="00610FF3"/>
    <w:p w14:paraId="2A2E55AF" w14:textId="77777777" w:rsidR="00610FF3" w:rsidRDefault="00610FF3"/>
    <w:p w14:paraId="4E99D10C" w14:textId="77777777" w:rsidR="00610FF3" w:rsidRDefault="00610FF3"/>
  </w:endnote>
  <w:endnote w:type="continuationNotice" w:id="1">
    <w:p w14:paraId="516A79B5" w14:textId="77777777" w:rsidR="00610FF3" w:rsidRDefault="00610F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83F6" w14:textId="77777777" w:rsidR="008F7E39" w:rsidRDefault="008F7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3834CAE5" w:rsidR="009346E2" w:rsidRPr="00313CB3" w:rsidRDefault="005468BC" w:rsidP="00196A8C">
    <w:pPr>
      <w:pBdr>
        <w:top w:val="single" w:sz="4" w:space="1" w:color="auto"/>
      </w:pBdr>
      <w:tabs>
        <w:tab w:val="right" w:pos="9356"/>
      </w:tabs>
    </w:pPr>
    <w:bookmarkStart w:id="23" w:name="release_month"/>
    <w:r>
      <w:rPr>
        <w:lang w:val="en-GB"/>
      </w:rPr>
      <w:t>[release month]</w:t>
    </w:r>
    <w:bookmarkEnd w:id="23"/>
    <w:r>
      <w:rPr>
        <w:lang w:val="en-GB"/>
      </w:rPr>
      <w:t xml:space="preserve"> </w:t>
    </w:r>
    <w:bookmarkStart w:id="24" w:name="release_year"/>
    <w:r>
      <w:rPr>
        <w:lang w:val="en-GB"/>
      </w:rPr>
      <w:t>[release year]</w:t>
    </w:r>
    <w:bookmarkEnd w:id="24"/>
    <w:r w:rsidR="009346E2">
      <w:rPr>
        <w:lang w:val="en-GB"/>
      </w:rPr>
      <w:tab/>
    </w:r>
    <w:r w:rsidR="008F7E39">
      <w:rPr>
        <w:noProof/>
      </w:rPr>
      <w:drawing>
        <wp:inline distT="0" distB="0" distL="0" distR="0" wp14:anchorId="5C587880" wp14:editId="4913A10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E837E" w14:textId="77777777" w:rsidR="00610FF3" w:rsidRDefault="00610FF3">
      <w:r>
        <w:separator/>
      </w:r>
    </w:p>
    <w:p w14:paraId="181721B0" w14:textId="77777777" w:rsidR="00610FF3" w:rsidRDefault="00610FF3"/>
    <w:p w14:paraId="4A741728" w14:textId="77777777" w:rsidR="00610FF3" w:rsidRDefault="00610FF3"/>
  </w:footnote>
  <w:footnote w:type="continuationSeparator" w:id="0">
    <w:p w14:paraId="10EAEC43" w14:textId="77777777" w:rsidR="00610FF3" w:rsidRDefault="00610FF3">
      <w:r>
        <w:continuationSeparator/>
      </w:r>
    </w:p>
    <w:p w14:paraId="1F768FEC" w14:textId="77777777" w:rsidR="00610FF3" w:rsidRDefault="00610FF3"/>
    <w:p w14:paraId="227C1273" w14:textId="77777777" w:rsidR="00610FF3" w:rsidRDefault="00610FF3"/>
    <w:p w14:paraId="0CDC84B8" w14:textId="77777777" w:rsidR="00610FF3" w:rsidRDefault="00610FF3"/>
  </w:footnote>
  <w:footnote w:type="continuationNotice" w:id="1">
    <w:p w14:paraId="5909072E" w14:textId="77777777" w:rsidR="00610FF3" w:rsidRDefault="00610F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82"/>
      <w:gridCol w:w="4678"/>
    </w:tblGrid>
    <w:tr w:rsidR="00E159E3" w14:paraId="351E4340" w14:textId="77777777" w:rsidTr="00B63BD3">
      <w:tc>
        <w:tcPr>
          <w:tcW w:w="4788" w:type="dxa"/>
          <w:vAlign w:val="bottom"/>
        </w:tcPr>
        <w:p w14:paraId="049B7E6E" w14:textId="44373663" w:rsidR="00E159E3" w:rsidRDefault="00793166" w:rsidP="00B63BD3">
          <w:pPr>
            <w:pStyle w:val="PageHeaderRegionsNameofthereport"/>
          </w:pPr>
          <w:bookmarkStart w:id="18" w:name="region_name_rest"/>
          <w:r>
            <w:t>[region name]</w:t>
          </w:r>
          <w:bookmarkEnd w:id="18"/>
        </w:p>
      </w:tc>
      <w:tc>
        <w:tcPr>
          <w:tcW w:w="4788" w:type="dxa"/>
          <w:vAlign w:val="bottom"/>
        </w:tcPr>
        <w:p w14:paraId="5C4DF0DD" w14:textId="744BE99A" w:rsidR="00E159E3" w:rsidRDefault="002A081E" w:rsidP="00B63BD3">
          <w:pPr>
            <w:pStyle w:val="PageHeaderRegionsNameofthereport"/>
            <w:jc w:val="right"/>
          </w:pPr>
          <w:bookmarkStart w:id="19" w:name="short_title"/>
          <w:r>
            <w:t>[short title]</w:t>
          </w:r>
          <w:bookmarkEnd w:id="19"/>
        </w:p>
      </w:tc>
    </w:tr>
  </w:tbl>
  <w:p w14:paraId="6506B67B" w14:textId="4257F563"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B14" w14:textId="77777777" w:rsidR="002A081E" w:rsidRDefault="002A081E" w:rsidP="002A081E">
    <w:pPr>
      <w:rPr>
        <w:sz w:val="24"/>
      </w:rPr>
    </w:pPr>
    <w:r>
      <w:rPr>
        <w:noProof/>
      </w:rPr>
      <w:drawing>
        <wp:inline distT="0" distB="0" distL="0" distR="0" wp14:anchorId="07A99039" wp14:editId="0F0E8D23">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D511468" w14:textId="77777777" w:rsidR="002A081E" w:rsidRPr="00393644" w:rsidRDefault="002A081E" w:rsidP="002A081E">
    <w:pPr>
      <w:pStyle w:val="CoverPageHeaderCSAS"/>
    </w:pPr>
    <w:r w:rsidRPr="00393644">
      <w:rPr>
        <w:sz w:val="24"/>
      </w:rPr>
      <w:tab/>
    </w:r>
    <w:r w:rsidRPr="00393644">
      <w:t>Canadian Science Advisory Secretariat</w:t>
    </w:r>
  </w:p>
  <w:p w14:paraId="0E5CD33D" w14:textId="0A8589CE" w:rsidR="00E159E3" w:rsidRPr="002A081E" w:rsidRDefault="002A081E" w:rsidP="002A081E">
    <w:pPr>
      <w:pStyle w:val="CoverPageHeaderregions"/>
      <w:rPr>
        <w:szCs w:val="22"/>
      </w:rPr>
    </w:pPr>
    <w:bookmarkStart w:id="20" w:name="region_name"/>
    <w:r>
      <w:t>[</w:t>
    </w:r>
    <w:r w:rsidR="00793166">
      <w:t>region name</w:t>
    </w:r>
    <w:r>
      <w:t>]</w:t>
    </w:r>
    <w:bookmarkEnd w:id="20"/>
    <w:r>
      <w:tab/>
    </w:r>
    <w:r w:rsidRPr="00393644">
      <w:t xml:space="preserve">Science </w:t>
    </w:r>
    <w:r>
      <w:t xml:space="preserve">Advisory Report </w:t>
    </w:r>
    <w:bookmarkStart w:id="21" w:name="report_year"/>
    <w:r>
      <w:t>[report year]</w:t>
    </w:r>
    <w:bookmarkEnd w:id="21"/>
    <w:r w:rsidRPr="00393644">
      <w:t>/</w:t>
    </w:r>
    <w:bookmarkStart w:id="22" w:name="report_number"/>
    <w:r>
      <w:t>[</w:t>
    </w:r>
    <w:proofErr w:type="spellStart"/>
    <w:r>
      <w:t>nnn</w:t>
    </w:r>
    <w:proofErr w:type="spellEnd"/>
    <w:r>
      <w:t>]</w:t>
    </w:r>
    <w:bookmarkEnd w:id="22"/>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022B69A5"/>
    <w:multiLevelType w:val="hybridMultilevel"/>
    <w:tmpl w:val="47A61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CE3"/>
    <w:multiLevelType w:val="multilevel"/>
    <w:tmpl w:val="BDE0B074"/>
    <w:numStyleLink w:val="olstyle"/>
  </w:abstractNum>
  <w:abstractNum w:abstractNumId="6"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F83FFA"/>
    <w:multiLevelType w:val="multilevel"/>
    <w:tmpl w:val="BDE0B074"/>
    <w:numStyleLink w:val="olstyle"/>
  </w:abstractNum>
  <w:abstractNum w:abstractNumId="8" w15:restartNumberingAfterBreak="0">
    <w:nsid w:val="1E31733D"/>
    <w:multiLevelType w:val="multilevel"/>
    <w:tmpl w:val="D048E428"/>
    <w:numStyleLink w:val="ulstyle"/>
  </w:abstractNum>
  <w:abstractNum w:abstractNumId="9" w15:restartNumberingAfterBreak="0">
    <w:nsid w:val="5E1A4A94"/>
    <w:multiLevelType w:val="multilevel"/>
    <w:tmpl w:val="BDE0B074"/>
    <w:styleLink w:val="ol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15:restartNumberingAfterBreak="0">
    <w:nsid w:val="5F5D4CEA"/>
    <w:multiLevelType w:val="hybridMultilevel"/>
    <w:tmpl w:val="C292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C5D67"/>
    <w:multiLevelType w:val="multilevel"/>
    <w:tmpl w:val="D048E428"/>
    <w:numStyleLink w:val="ulstyle"/>
  </w:abstractNum>
  <w:abstractNum w:abstractNumId="12" w15:restartNumberingAfterBreak="0">
    <w:nsid w:val="6B584AAA"/>
    <w:multiLevelType w:val="multilevel"/>
    <w:tmpl w:val="D048E428"/>
    <w:styleLink w:val="ulstyl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6"/>
  </w:num>
  <w:num w:numId="9" w16cid:durableId="468979641">
    <w:abstractNumId w:val="10"/>
  </w:num>
  <w:num w:numId="10" w16cid:durableId="495851857">
    <w:abstractNumId w:val="12"/>
  </w:num>
  <w:num w:numId="11" w16cid:durableId="1392578933">
    <w:abstractNumId w:val="11"/>
  </w:num>
  <w:num w:numId="12" w16cid:durableId="1226918003">
    <w:abstractNumId w:val="8"/>
  </w:num>
  <w:num w:numId="13" w16cid:durableId="501700359">
    <w:abstractNumId w:val="4"/>
  </w:num>
  <w:num w:numId="14" w16cid:durableId="1753311350">
    <w:abstractNumId w:val="9"/>
  </w:num>
  <w:num w:numId="15" w16cid:durableId="2068718831">
    <w:abstractNumId w:val="5"/>
  </w:num>
  <w:num w:numId="16" w16cid:durableId="119754547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3FEA"/>
    <w:rsid w:val="000C4981"/>
    <w:rsid w:val="000D0314"/>
    <w:rsid w:val="000D5067"/>
    <w:rsid w:val="000D7196"/>
    <w:rsid w:val="000E1456"/>
    <w:rsid w:val="000E2A84"/>
    <w:rsid w:val="000E60A0"/>
    <w:rsid w:val="000E680B"/>
    <w:rsid w:val="000E6974"/>
    <w:rsid w:val="000E76C5"/>
    <w:rsid w:val="000F2C85"/>
    <w:rsid w:val="000F4532"/>
    <w:rsid w:val="000F45C5"/>
    <w:rsid w:val="000F7324"/>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071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E"/>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7C6C"/>
    <w:rsid w:val="00361392"/>
    <w:rsid w:val="00361C87"/>
    <w:rsid w:val="003639FE"/>
    <w:rsid w:val="0036415E"/>
    <w:rsid w:val="00365257"/>
    <w:rsid w:val="00374B5E"/>
    <w:rsid w:val="00375CC6"/>
    <w:rsid w:val="00375F8B"/>
    <w:rsid w:val="003820DE"/>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1245"/>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468BC"/>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10FF3"/>
    <w:rsid w:val="006202CC"/>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077D1"/>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31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3AD"/>
    <w:rsid w:val="00817A6C"/>
    <w:rsid w:val="008210B7"/>
    <w:rsid w:val="00822044"/>
    <w:rsid w:val="00830B56"/>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8F7E39"/>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075"/>
    <w:rsid w:val="009D7D1A"/>
    <w:rsid w:val="009E0B22"/>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5460"/>
    <w:rsid w:val="00A865F8"/>
    <w:rsid w:val="00A8682C"/>
    <w:rsid w:val="00A86F68"/>
    <w:rsid w:val="00A90D59"/>
    <w:rsid w:val="00A916CF"/>
    <w:rsid w:val="00A965D1"/>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1DE4"/>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5E7"/>
    <w:rsid w:val="00C65C63"/>
    <w:rsid w:val="00C66011"/>
    <w:rsid w:val="00C700FC"/>
    <w:rsid w:val="00C72B01"/>
    <w:rsid w:val="00C859C6"/>
    <w:rsid w:val="00C912AB"/>
    <w:rsid w:val="00C91B7A"/>
    <w:rsid w:val="00C93A97"/>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8678A"/>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4C16"/>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44B9"/>
    <w:rsid w:val="00F66C31"/>
    <w:rsid w:val="00F84694"/>
    <w:rsid w:val="00F86191"/>
    <w:rsid w:val="00F86C11"/>
    <w:rsid w:val="00F87E5E"/>
    <w:rsid w:val="00F942AD"/>
    <w:rsid w:val="00F97830"/>
    <w:rsid w:val="00FA1C7B"/>
    <w:rsid w:val="00FA7AF2"/>
    <w:rsid w:val="00FB39BD"/>
    <w:rsid w:val="00FB6655"/>
    <w:rsid w:val="00FC10F3"/>
    <w:rsid w:val="00FC2F23"/>
    <w:rsid w:val="00FC335C"/>
    <w:rsid w:val="00FC4A1B"/>
    <w:rsid w:val="00FC525F"/>
    <w:rsid w:val="00FC743A"/>
    <w:rsid w:val="00FD082E"/>
    <w:rsid w:val="00FD13A2"/>
    <w:rsid w:val="00FD37D5"/>
    <w:rsid w:val="00FE20D6"/>
    <w:rsid w:val="00FE78B7"/>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0B22"/>
    <w:pPr>
      <w:spacing w:after="120"/>
    </w:pPr>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ind w:left="360"/>
      <w:outlineLvl w:val="3"/>
    </w:pPr>
    <w:rPr>
      <w:b/>
      <w:bCs/>
      <w:szCs w:val="28"/>
      <w:lang w:val="en-CA"/>
    </w:rPr>
  </w:style>
  <w:style w:type="paragraph" w:styleId="Heading5">
    <w:name w:val="heading 5"/>
    <w:basedOn w:val="Normal"/>
    <w:next w:val="Normal"/>
    <w:link w:val="Heading5Char"/>
    <w:qFormat/>
    <w:rsid w:val="00CA28AD"/>
    <w:pPr>
      <w:keepNext/>
      <w:spacing w:before="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Heading2"/>
    <w:qFormat/>
    <w:rsid w:val="000F7324"/>
  </w:style>
  <w:style w:type="paragraph" w:customStyle="1" w:styleId="Context-text">
    <w:name w:val="Context-text"/>
    <w:basedOn w:val="BodyText"/>
    <w:qFormat/>
    <w:rsid w:val="000F7324"/>
  </w:style>
  <w:style w:type="paragraph" w:styleId="BodyText">
    <w:name w:val="Body Text"/>
    <w:basedOn w:val="Normal"/>
    <w:link w:val="BodyTextChar"/>
    <w:qFormat/>
    <w:rsid w:val="002B44C3"/>
    <w:pPr>
      <w:spacing w:before="120"/>
    </w:pPr>
  </w:style>
  <w:style w:type="paragraph" w:customStyle="1" w:styleId="citation">
    <w:name w:val="citation"/>
    <w:basedOn w:val="Normal"/>
    <w:qFormat/>
    <w:rsid w:val="0092747E"/>
    <w:pPr>
      <w:keepLines/>
      <w:spacing w:before="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link w:val="BodyTextCenteredChar"/>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ind w:left="720"/>
      <w:contextualSpacing/>
    </w:pPr>
  </w:style>
  <w:style w:type="paragraph" w:customStyle="1" w:styleId="Caption-Table">
    <w:name w:val="Caption - Table"/>
    <w:basedOn w:val="Normal"/>
    <w:qFormat/>
    <w:rsid w:val="00CA28AD"/>
    <w:pPr>
      <w:keepNext/>
      <w:keepLines/>
      <w:spacing w:before="24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pPr>
  </w:style>
  <w:style w:type="paragraph" w:styleId="ListNumber2">
    <w:name w:val="List Number 2"/>
    <w:basedOn w:val="Normal"/>
    <w:unhideWhenUsed/>
    <w:rsid w:val="00CA28AD"/>
    <w:pPr>
      <w:numPr>
        <w:numId w:val="4"/>
      </w:numPr>
      <w:ind w:left="720"/>
    </w:pPr>
  </w:style>
  <w:style w:type="paragraph" w:customStyle="1" w:styleId="Blockquote">
    <w:name w:val="Blockquote"/>
    <w:basedOn w:val="Normal"/>
    <w:rsid w:val="002B44C3"/>
    <w:pPr>
      <w:spacing w:before="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9D7075"/>
    <w:pPr>
      <w:ind w:left="720"/>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BodyText-Centered">
    <w:name w:val="Body Text - Centered"/>
    <w:basedOn w:val="BodyTextCentered"/>
    <w:link w:val="BodyText-CenteredChar"/>
    <w:qFormat/>
    <w:rsid w:val="00F644B9"/>
  </w:style>
  <w:style w:type="character" w:customStyle="1" w:styleId="BodyTextCenteredChar">
    <w:name w:val="Body Text + Centered Char"/>
    <w:basedOn w:val="BodyTextChar"/>
    <w:link w:val="BodyTextCentered"/>
    <w:rsid w:val="00F644B9"/>
    <w:rPr>
      <w:rFonts w:ascii="Arial" w:hAnsi="Arial"/>
      <w:sz w:val="22"/>
      <w:lang w:val="en-US" w:eastAsia="en-US"/>
    </w:rPr>
  </w:style>
  <w:style w:type="character" w:customStyle="1" w:styleId="BodyText-CenteredChar">
    <w:name w:val="Body Text - Centered Char"/>
    <w:basedOn w:val="BodyTextCenteredChar"/>
    <w:link w:val="BodyText-Centered"/>
    <w:rsid w:val="00F644B9"/>
    <w:rPr>
      <w:rFonts w:ascii="Arial" w:hAnsi="Arial"/>
      <w:sz w:val="22"/>
      <w:lang w:val="en-US" w:eastAsia="en-US"/>
    </w:rPr>
  </w:style>
  <w:style w:type="numbering" w:customStyle="1" w:styleId="ulstyle">
    <w:name w:val="ul style"/>
    <w:uiPriority w:val="99"/>
    <w:rsid w:val="009D7075"/>
    <w:pPr>
      <w:numPr>
        <w:numId w:val="10"/>
      </w:numPr>
    </w:pPr>
  </w:style>
  <w:style w:type="numbering" w:customStyle="1" w:styleId="olstyle">
    <w:name w:val="ol style"/>
    <w:uiPriority w:val="99"/>
    <w:rsid w:val="009D7075"/>
    <w:pPr>
      <w:numPr>
        <w:numId w:val="14"/>
      </w:numPr>
    </w:pPr>
  </w:style>
  <w:style w:type="paragraph" w:customStyle="1" w:styleId="TableCaption">
    <w:name w:val="Table Caption"/>
    <w:basedOn w:val="Caption-Table"/>
    <w:qFormat/>
    <w:rsid w:val="00E74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tra.dfo-mpo.gc.ca/csas-sccs/index-eng.html"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Props1.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3.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4.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205</TotalTime>
  <Pages>8</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 (DFO/MPO)</cp:lastModifiedBy>
  <cp:revision>15</cp:revision>
  <cp:lastPrinted>2023-02-22T12:43:00Z</cp:lastPrinted>
  <dcterms:created xsi:type="dcterms:W3CDTF">2024-03-15T12:27:00Z</dcterms:created>
  <dcterms:modified xsi:type="dcterms:W3CDTF">2024-10-05T10:44:00Z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