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60"/>
      </w:tblGrid>
      <w:tr>
        <w:tblPrEx>
          <w:shd w:val="clear" w:color="auto" w:fill="cdd4e9"/>
        </w:tblPrEx>
        <w:trPr>
          <w:trHeight w:val="344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annotation text"/>
              <w:tabs>
                <w:tab w:val="left" w:pos="3690"/>
              </w:tabs>
            </w:pPr>
            <w:r>
              <w:rPr>
                <w:rFonts w:ascii="Microsoft Sans Serif" w:hAnsi="Microsoft Sans Serif"/>
                <w:sz w:val="36"/>
                <w:szCs w:val="36"/>
                <w:shd w:val="nil" w:color="auto" w:fill="auto"/>
                <w:rtl w:val="0"/>
                <w:lang w:val="fr-FR"/>
              </w:rPr>
              <w:t>Assessing the quality of groundfish population indices derived from the Small-mesh Multi-species Survey</w:t>
            </w:r>
          </w:p>
        </w:tc>
      </w:tr>
      <w:tr>
        <w:tblPrEx>
          <w:shd w:val="clear" w:color="auto" w:fill="cdd4e9"/>
        </w:tblPrEx>
        <w:trPr>
          <w:trHeight w:val="1712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icrosoft Sans Serif" w:hAnsi="Microsoft Sans Serif"/>
                <w:sz w:val="28"/>
                <w:szCs w:val="28"/>
                <w:shd w:val="nil" w:color="auto" w:fill="auto"/>
                <w:rtl w:val="0"/>
                <w:lang w:val="fr-FR"/>
              </w:rPr>
              <w:t>Jillian C. Dunic and Sean C. Anderson</w:t>
            </w:r>
          </w:p>
        </w:tc>
      </w:tr>
      <w:tr>
        <w:tblPrEx>
          <w:shd w:val="clear" w:color="auto" w:fill="cdd4e9"/>
        </w:tblPrEx>
        <w:trPr>
          <w:trHeight w:val="344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Microsoft Sans Serif" w:cs="Microsoft Sans Serif" w:hAnsi="Microsoft Sans Serif" w:eastAsia="Microsoft Sans Serif"/>
                <w:sz w:val="28"/>
                <w:szCs w:val="28"/>
                <w:shd w:val="nil" w:color="auto" w:fill="auto"/>
              </w:rPr>
            </w:pPr>
            <w:r>
              <w:rPr>
                <w:rFonts w:ascii="Microsoft Sans Serif" w:hAnsi="Microsoft Sans Serif"/>
                <w:sz w:val="28"/>
                <w:szCs w:val="28"/>
                <w:shd w:val="nil" w:color="auto" w:fill="auto"/>
                <w:rtl w:val="0"/>
                <w:lang w:val="en-US"/>
              </w:rPr>
              <w:t>Pacific Biological Station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Microsoft Sans Serif" w:cs="Microsoft Sans Serif" w:hAnsi="Microsoft Sans Serif" w:eastAsia="Microsoft Sans Serif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Microsoft Sans Serif" w:hAnsi="Microsoft Sans Serif"/>
                <w:sz w:val="28"/>
                <w:szCs w:val="28"/>
                <w:shd w:val="nil" w:color="auto" w:fill="auto"/>
                <w:rtl w:val="0"/>
                <w:lang w:val="en-US"/>
              </w:rPr>
              <w:t>Fisheries and Oceans Canada, 3190 Hammond Bay Road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Sans Serif" w:hAnsi="Microsoft Sans Serif"/>
                <w:sz w:val="28"/>
                <w:szCs w:val="28"/>
                <w:shd w:val="nil" w:color="auto" w:fill="auto"/>
                <w:rtl w:val="0"/>
              </w:rPr>
              <w:t>Nanaimo, British Columbia, V9T 6N7, Canada</w:t>
            </w:r>
          </w:p>
        </w:tc>
      </w:tr>
      <w:tr>
        <w:tblPrEx>
          <w:shd w:val="clear" w:color="auto" w:fill="cdd4e9"/>
        </w:tblPrEx>
        <w:trPr>
          <w:trHeight w:val="128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Microsoft Sans Serif" w:hAnsi="Microsoft Sans Serif"/>
                <w:sz w:val="28"/>
                <w:szCs w:val="28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Microsoft Sans Serif" w:cs="Microsoft Sans Serif" w:hAnsi="Microsoft Sans Serif" w:eastAsia="Microsoft Sans Serif"/>
                <w:sz w:val="36"/>
                <w:szCs w:val="36"/>
                <w:shd w:val="nil" w:color="auto" w:fill="auto"/>
              </w:rPr>
            </w:pPr>
            <w:r>
              <w:rPr>
                <w:rFonts w:ascii="Microsoft Sans Serif" w:hAnsi="Microsoft Sans Serif"/>
                <w:sz w:val="36"/>
                <w:szCs w:val="36"/>
                <w:shd w:val="nil" w:color="auto" w:fill="auto"/>
                <w:rtl w:val="0"/>
                <w:lang w:val="en-US"/>
              </w:rPr>
              <w:t>Canadian Technical Report of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icrosoft Sans Serif" w:hAnsi="Microsoft Sans Serif"/>
                <w:sz w:val="36"/>
                <w:szCs w:val="36"/>
                <w:shd w:val="nil" w:color="auto" w:fill="auto"/>
                <w:rtl w:val="0"/>
                <w:lang w:val="en-US"/>
              </w:rPr>
              <w:t xml:space="preserve">Fisheries and Aquatic Sciences </w:t>
            </w:r>
            <w:r>
              <w:rPr>
                <w:rFonts w:ascii="Microsoft Sans Serif" w:hAnsi="Microsoft Sans Serif"/>
                <w:sz w:val="36"/>
                <w:szCs w:val="36"/>
                <w:shd w:val="nil" w:color="auto" w:fill="auto"/>
                <w:rtl w:val="0"/>
              </w:rPr>
              <w:t>####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562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fr-FR"/>
      </w:rPr>
      <w:t>1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800098</wp:posOffset>
              </wp:positionH>
              <wp:positionV relativeFrom="page">
                <wp:posOffset>9344660</wp:posOffset>
              </wp:positionV>
              <wp:extent cx="3023872" cy="588010"/>
              <wp:effectExtent l="0" t="0" r="0" b="0"/>
              <wp:wrapNone/>
              <wp:docPr id="1073741825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3872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 xmlns:a="http://schemas.openxmlformats.org/drawingml/2006/main">
                              <wp:inline distT="0" distB="0" distL="0" distR="0">
                                <wp:extent cx="2647315" cy="358142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315" cy="3581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63.0pt;margin-top:735.8pt;width:238.1pt;height:46.3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 xmlns:a="http://schemas.openxmlformats.org/drawingml/2006/main">
                        <wp:inline distT="0" distB="0" distL="0" distR="0">
                          <wp:extent cx="2647315" cy="358142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47315" cy="3581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5864860</wp:posOffset>
              </wp:positionH>
              <wp:positionV relativeFrom="page">
                <wp:posOffset>9344660</wp:posOffset>
              </wp:positionV>
              <wp:extent cx="1037589" cy="413385"/>
              <wp:effectExtent l="0" t="0" r="0" b="0"/>
              <wp:wrapNone/>
              <wp:docPr id="1073741827" name="officeArt object" descr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7589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drawing xmlns:a="http://schemas.openxmlformats.org/drawingml/2006/main">
                              <wp:inline distT="0" distB="0" distL="0" distR="0">
                                <wp:extent cx="933450" cy="223521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3450" cy="22352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61.8pt;margin-top:735.8pt;width:81.7pt;height:32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drawing xmlns:a="http://schemas.openxmlformats.org/drawingml/2006/main">
                        <wp:inline distT="0" distB="0" distL="0" distR="0">
                          <wp:extent cx="933450" cy="223521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2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33450" cy="2235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nnotation text">
    <w:name w:val="annotation text"/>
    <w:next w:val="annotatio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