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Jul 1, 2026</w:t>
            </w:r>
          </w:p>
        </w:tc>
      </w:tr>
      <w:t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2026-07-01_Dashboard - CAC.xlsx</w:t>
            </w:r>
          </w:p>
        </w:tc>
      </w:tr>
      <w:t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2026-07-01_CST7.xlsx</w:t>
            </w:r>
          </w:p>
        </w:tc>
      </w:tr>
      <w:t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2026-07-01_Membership-Hub-Field-Service-monday-export.xlsx</w:t>
            </w:r>
          </w:p>
        </w:tc>
      </w:tr>
      <w:tr>
        <w:tc>
          <w:tcPr>
            <w:tcW w:type="dxa" w:w="2400"/>
          </w:tcPr>
          <w:p>
            <w:pPr>
              <w:spacing w:after="0"/>
            </w:pPr>
            <w:r>
              <w:rPr>
                <w:rFonts w:ascii="Calibri" w:hAnsi="Calibri"/>
                <w:color w:val="122033"/>
                <w:sz w:val="19"/>
              </w:rPr>
              <w:t>Guide reviewed</w:t>
            </w:r>
          </w:p>
        </w:tc>
        <w:tc>
          <w:tcPr>
            <w:tcW w:type="dxa" w:w="6960"/>
          </w:tcPr>
          <w:p>
            <w:pPr>
              <w:spacing w:after="0"/>
            </w:pPr>
            <w:r>
              <w:rPr>
                <w:rFonts w:ascii="Calibri" w:hAnsi="Calibri"/>
                <w:color w:val="122033"/>
                <w:sz w:val="19"/>
              </w:rPr>
              <w:t>Jul 1, 2026</w:t>
            </w:r>
          </w:p>
        </w:tc>
      </w:tr>
      <w:t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unit health, training, safeguarding, commissioner coverage, Service Area context, CST comparison, and monday.com operating context.</w:t>
      </w:r>
    </w:p>
    <w:p>
      <w:pPr>
        <w:pStyle w:val="BodyText"/>
      </w:pPr>
      <w:r>
        <w:t>The website itself is static. It does not connect directly to Google Drive or monday.com when someone opens it. Instead, a daily local refresh process creates compact JSON data files, commits those files to GitHub, and GitHub Pages publishes the updated dashboard.</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7,930</w:t>
            </w:r>
          </w:p>
        </w:tc>
      </w:tr>
      <w:t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294</w:t>
            </w:r>
          </w:p>
        </w:tc>
      </w:tr>
      <w:t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128 (43.5%)</w:t>
            </w:r>
          </w:p>
        </w:tc>
      </w:tr>
      <w:t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(28.6%)</w:t>
            </w:r>
          </w:p>
        </w:tc>
      </w:tr>
      <w:t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95</w:t>
            </w:r>
          </w:p>
        </w:tc>
      </w:tr>
      <w:t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65</w:t>
            </w:r>
          </w:p>
        </w:tc>
      </w:tr>
      <w:t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5,961</w:t>
            </w:r>
          </w:p>
        </w:tc>
      </w:tr>
      <w:t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202</w:t>
            </w:r>
          </w:p>
        </w:tc>
      </w:tr>
      <w:t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737</w:t>
            </w:r>
          </w:p>
        </w:tc>
      </w:tr>
    </w:tbl>
    <w:p>
      <w:pPr>
        <w:spacing w:after="80"/>
      </w:pPr>
    </w:p>
    <w:p>
      <w:pPr>
        <w:pStyle w:val="Heading1"/>
      </w:pPr>
      <w:r>
        <w:t>2. Where The Data Comes From</w:t>
      </w:r>
    </w:p>
    <w:p>
      <w:pPr>
        <w:pStyle w:val="BodyText"/>
      </w:pPr>
      <w:r>
        <w:t>The dashboard has four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and Total Available Youth.</w:t>
            </w:r>
          </w:p>
        </w:tc>
        <w:tc>
          <w:tcPr>
            <w:tcW w:type="dxa" w:w="2160"/>
          </w:tcPr>
          <w:p>
            <w:pPr>
              <w:spacing w:after="0"/>
            </w:pPr>
            <w:r>
              <w:rPr>
                <w:rFonts w:ascii="Calibri" w:hAnsi="Calibri"/>
                <w:color w:val="122033"/>
                <w:sz w:val="19"/>
              </w:rPr>
              <w:t>`data/monday-latest.json`</w:t>
            </w:r>
          </w:p>
        </w:tc>
      </w:tr>
      <w:tr>
        <w:tc>
          <w:tcPr>
            <w:tcW w:type="dxa" w:w="2200"/>
          </w:tcPr>
          <w:p>
            <w:pPr>
              <w:spacing w:after="0"/>
            </w:pPr>
            <w:r>
              <w:rPr>
                <w:rFonts w:ascii="Calibri" w:hAnsi="Calibri"/>
                <w:color w:val="122033"/>
                <w:sz w:val="19"/>
              </w:rPr>
              <w:t>Service Area mapping</w:t>
            </w:r>
          </w:p>
        </w:tc>
        <w:tc>
          <w:tcPr>
            <w:tcW w:type="dxa" w:w="5000"/>
          </w:tcPr>
          <w:p>
            <w:pPr>
              <w:spacing w:after="0"/>
            </w:pPr>
            <w:r>
              <w:rPr>
                <w:rFonts w:ascii="Calibri" w:hAnsi="Calibri"/>
                <w:color w:val="122033"/>
                <w:sz w:val="19"/>
              </w:rPr>
              <w:t>District-to-Service-Area assignments and Field Director ownership from Bill Kohl's authoritative Districts and Service Area email.</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w:t>
      </w:r>
    </w:p>
    <w:p>
      <w:pPr>
        <w:pStyle w:val="Heading1"/>
      </w:pPr>
      <w:r>
        <w:t>3. How The Daily Refresh Works</w:t>
      </w:r>
    </w:p>
    <w:p>
      <w:pPr>
        <w:pStyle w:val="BodyText"/>
      </w:pPr>
      <w:r>
        <w:t>The scheduled macOS LaunchAgents refresh the source workbooks first, then publish the two dashboard sites from their active working copies. The Council Summary site runs /Users/petersargent/CouncilDashboardSummaryUpdate.zsh and uses /Users/petersargent/CouncilDashboardSummaryRepo as its active GitHub Pages repo. The Commissioner Dashboard is a separate GitHub Pages portal that reads the same canonical Council Summary JSON, so it is updated without replacing or merging into the Council Summary site.</w:t>
      </w:r>
    </w:p>
    <w:p>
      <w:pPr>
        <w:pStyle w:val="ListNumber"/>
      </w:pPr>
      <w:r>
        <w:t>Find the newest Council dashboard workbook in the Council Dashboard Reports shared drive.</w:t>
      </w:r>
    </w:p>
    <w:p>
      <w:pPr>
        <w:pStyle w:val="ListNumber"/>
      </w:pPr>
      <w:r>
        <w:t>Find the newest CST7 workbook in the Council Metric Reports shared drive.</w:t>
      </w:r>
    </w:p>
    <w:p>
      <w:pPr>
        <w:pStyle w:val="ListNumber"/>
      </w:pPr>
      <w:r>
        <w:t>Build `data/latest.json`, including Service Area rollups and a dated archive JSON file.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Copy the refreshed JSON files to the local preview site.</w:t>
      </w:r>
    </w:p>
    <w:p>
      <w:pPr>
        <w:pStyle w:val="ListNumber"/>
      </w:pPr>
      <w:r>
        <w:t>Publish the Council Summary site tree to GitHub Pages using historyless publishing.</w:t>
      </w:r>
    </w:p>
    <w:p>
      <w:pPr>
        <w:pStyle w:val="ListNumber"/>
      </w:pPr>
      <w:r>
        <w:t>Publish the Commissioner Dashboard site tree to its separate GitHub Pages repository using historyless publishing.</w:t>
      </w:r>
    </w:p>
    <w:p>
      <w:pPr>
        <w:pStyle w:val="ListNumber"/>
      </w:pPr>
      <w:r>
        <w:t>Let GitHub Pages publish the updated dashboard.</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Historyless publishing</w:t>
            </w:r>
          </w:p>
          <w:p>
            <w:pPr>
              <w:spacing w:after="0"/>
            </w:pPr>
            <w:r>
              <w:rPr>
                <w:rFonts w:ascii="Calibri" w:hAnsi="Calibri"/>
                <w:color w:val="122033"/>
                <w:sz w:val="21"/>
              </w:rPr>
              <w:t>Each GitHub Pages repository is replaced with a fresh single root commit for each publish using force-with-lease protection. That keeps the public Pages repositories compact while still publishing the current static site trees.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p>
      <w:r>
        <w:br w:type="page"/>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Council Summary repo is /Users/petersargent/CouncilDashboardSummaryRepo. The Council Summary LaunchAgent is /Users/petersargent/Library/LaunchAgents/com.pbsargent.council-dashboard-summary.daily.plist. The scheduled wrapper script is /Users/petersargent/CouncilDashboardSummaryUpdate.zsh. The active Commissioner Dashboard worktree is /Users/petersargent/CACDashboardAutomation/outputs/council-commissioner-dashboard-github, and its scheduled publisher is /Users/petersargent/CACDashboardAutomation/work/commissioner_site/update_and_publish_github.zsh.</w:t>
            </w:r>
          </w:p>
        </w:tc>
      </w:tr>
    </w:tbl>
    <w:p>
      <w:pPr>
        <w:spacing w:after="40"/>
      </w:pPr>
    </w:p>
    <w:p>
      <w:pPr>
        <w:pStyle w:val="Heading1"/>
      </w:pPr>
      <w:r>
        <w:t>4. Build And Data Acquisition Requirements</w:t>
      </w:r>
    </w:p>
    <w:p>
      <w:pPr>
        <w:pStyle w:val="BodyText"/>
      </w:pPr>
      <w:r>
        <w:t>A technical maintainer can rebuild a similar dashboard if they have the source workbooks, a Python environment with the workbook/document libraries, a GitHub Pages repository, and a daily automation path that can read the local Google Drive files and push JSON outputs.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w:t>
            </w:r>
          </w:p>
        </w:tc>
      </w:tr>
      <w:t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`*Dashboard - CAC*.xlsx`, `*_CST7.xlsx`, and `*monday-export.xlsx`.</w:t>
            </w:r>
          </w:p>
        </w:tc>
      </w:tr>
      <w:t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LaunchAgent or equivalent scheduler that refreshes source workbooks, builds changed JSON, and historylessly publishes the current site trees to GitHub.</w:t>
            </w:r>
          </w:p>
        </w:tc>
      </w:tr>
      <w:tr>
        <w:tc>
          <w:tcPr>
            <w:tcW w:type="dxa" w:w="2400"/>
          </w:tcPr>
          <w:p>
            <w:pPr>
              <w:spacing w:after="0"/>
            </w:pPr>
            <w:r>
              <w:rPr>
                <w:rFonts w:ascii="Calibri" w:hAnsi="Calibri"/>
                <w:color w:val="122033"/>
                <w:sz w:val="19"/>
              </w:rPr>
              <w:t>Service Area mapping</w:t>
            </w:r>
          </w:p>
        </w:tc>
        <w:tc>
          <w:tcPr>
            <w:tcW w:type="dxa" w:w="6960"/>
          </w:tcPr>
          <w:p>
            <w:pPr>
              <w:spacing w:after="0"/>
            </w:pPr>
            <w:r>
              <w:rPr>
                <w:rFonts w:ascii="Calibri" w:hAnsi="Calibri"/>
                <w:color w:val="122033"/>
                <w:sz w:val="19"/>
              </w:rPr>
              <w:t>Authoritative district-to-Service-Area mapping source and a maintained mapping table in the builder.</w:t>
            </w:r>
          </w:p>
        </w:tc>
      </w:tr>
      <w:t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youth membership divided by the raw sum of Total Available Youth from monday.com school rows.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1"/>
      </w:pPr>
      <w:r>
        <w:t>6. What Each Detail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Whether direct-contact leaders have current SYT, Hazardous Weather, BALOO, and IOLS-related requirements.</w:t>
            </w:r>
          </w:p>
        </w:tc>
      </w:tr>
      <w:tr>
        <w:tc>
          <w:tcPr>
            <w:tcW w:type="dxa" w:w="2100"/>
          </w:tcPr>
          <w:p>
            <w:pPr>
              <w:spacing w:after="0"/>
            </w:pPr>
            <w:r>
              <w:rPr>
                <w:rFonts w:ascii="Calibri" w:hAnsi="Calibri"/>
                <w:color w:val="122033"/>
                <w:sz w:val="19"/>
              </w:rPr>
              <w:t>monday.com</w:t>
            </w:r>
          </w:p>
        </w:tc>
        <w:tc>
          <w:tcPr>
            <w:tcW w:type="dxa" w:w="7260"/>
          </w:tcPr>
          <w:p>
            <w:pPr>
              <w:spacing w:after="0"/>
            </w:pPr>
            <w:r>
              <w:rPr>
                <w:rFonts w:ascii="Calibri" w:hAnsi="Calibri"/>
                <w:color w:val="122033"/>
                <w:sz w:val="19"/>
              </w:rPr>
              <w:t>Where prospect, renewal, and school operating follow-up is concentrated.</w:t>
            </w:r>
          </w:p>
        </w:tc>
      </w:tr>
      <w:t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retention metrics.</w:t>
            </w:r>
          </w:p>
        </w:tc>
      </w:tr>
      <w:tr>
        <w:tc>
          <w:tcPr>
            <w:tcW w:type="dxa" w:w="2100"/>
          </w:tcPr>
          <w:p>
            <w:pPr>
              <w:spacing w:after="0"/>
            </w:pPr>
            <w:r>
              <w:rPr>
                <w:rFonts w:ascii="Calibri" w:hAnsi="Calibri"/>
                <w:color w:val="122033"/>
                <w:sz w:val="19"/>
              </w:rPr>
              <w:t>Membership Intelligence</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r>
        <w:br w:type="page"/>
      </w:r>
    </w:p>
    <w:p>
      <w:pPr>
        <w:pStyle w:val="Heading1"/>
      </w:pPr>
      <w:r>
        <w:t>7. Service Area And District Filtering</w:t>
      </w:r>
    </w:p>
    <w:p>
      <w:pPr>
        <w:pStyle w:val="BodyText"/>
      </w:pPr>
      <w:r>
        <w:t>Service Area is not inferred from workbook formulas. It is a maintained mapping based on the authoritative Districts and Service Area email. The builder attaches Service Area and Field Director values to district rows, priority units, training people, commissioner records, Unit Metric Compare rows, and monday.com district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Brundin</w:t>
            </w:r>
          </w:p>
        </w:tc>
        <w:tc>
          <w:tcPr>
            <w:tcW w:type="dxa" w:w="5460"/>
          </w:tcPr>
          <w:p>
            <w:pPr>
              <w:spacing w:after="0"/>
            </w:pPr>
            <w:r>
              <w:rPr>
                <w:rFonts w:ascii="Calibri" w:hAnsi="Calibri"/>
                <w:color w:val="122033"/>
                <w:sz w:val="19"/>
              </w:rPr>
              <w:t>Bee Cave; Chisholm Trail; Hill Country; North Shore</w:t>
            </w:r>
          </w:p>
        </w:tc>
      </w:tr>
      <w:t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Rosengarten</w:t>
            </w:r>
          </w:p>
        </w:tc>
        <w:tc>
          <w:tcPr>
            <w:tcW w:type="dxa" w:w="5460"/>
          </w:tcPr>
          <w:p>
            <w:pPr>
              <w:spacing w:after="0"/>
            </w:pPr>
            <w:r>
              <w:rPr>
                <w:rFonts w:ascii="Calibri" w:hAnsi="Calibri"/>
                <w:color w:val="122033"/>
                <w:sz w:val="19"/>
              </w:rPr>
              <w:t>Armadillo; Colorado River; Exploring; San Gabriel; Thunderbird</w:t>
            </w:r>
          </w:p>
        </w:tc>
      </w:tr>
      <w:t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Grune</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r>
        <w:br w:type="page"/>
      </w: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pPr>
      <w:r>
        <w:t>Council Youth / TAY uses raw school-row TAY once per school row.</w:t>
      </w:r>
    </w:p>
    <w:p>
      <w:pPr>
        <w:pStyle w:val="ListBullet"/>
      </w:pPr>
      <w:r>
        <w:t>District Youth / TAY attributes a school's full TAY to each official Scouting District listed for that school.</w:t>
      </w:r>
    </w:p>
    <w:p>
      <w:pPr>
        <w:pStyle w:val="ListBullet"/>
      </w:pPr>
      <w:r>
        <w:t>This means district TAY context is useful for district comparison, but district TAY values should not be summed and treated as the council total.</w:t>
      </w:r>
    </w:p>
    <w:p>
      <w:pPr>
        <w:pStyle w:val="ListBullet"/>
      </w:pPr>
      <w:r>
        <w:t>Official district views exclude non-official labels such as Unassigned when comparing districts.</w:t>
      </w: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c>
          <w:tcPr>
            <w:tcW w:type="dxa" w:w="2800"/>
          </w:tcPr>
          <w:p>
            <w:pPr>
              <w:spacing w:after="0"/>
            </w:pPr>
            <w:r>
              <w:rPr>
                <w:rFonts w:ascii="Calibri" w:hAnsi="Calibri"/>
                <w:color w:val="122033"/>
                <w:sz w:val="19"/>
              </w:rPr>
              <w:t>Is BALOO needed?</w:t>
            </w:r>
          </w:p>
        </w:tc>
        <w:tc>
          <w:tcPr>
            <w:tcW w:type="dxa" w:w="6560"/>
          </w:tcPr>
          <w:p>
            <w:pPr>
              <w:spacing w:after="0"/>
            </w:pPr>
            <w:r>
              <w:rPr>
                <w:rFonts w:ascii="Calibri" w:hAnsi="Calibri"/>
                <w:color w:val="122033"/>
                <w:sz w:val="19"/>
              </w:rPr>
              <w:t>Direct-contact Pack leaders require BALOO; missing or expired BALOO is flagged.</w:t>
            </w:r>
          </w:p>
        </w:tc>
      </w:tr>
      <w:t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Direct-contact Troop leaders are flagged when mandatory code S11 remains present.</w:t>
            </w:r>
          </w:p>
        </w:tc>
      </w:tr>
      <w:t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BALOO,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r>
        <w:br w:type="page"/>
      </w: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Sum of TAY for those attributed school rows.</w:t>
            </w:r>
          </w:p>
        </w:tc>
      </w:tr>
      <w:t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Attributed school rows with a blank Unit Associated field.</w:t>
            </w:r>
          </w:p>
        </w:tc>
      </w:tr>
      <w:t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r>
        <w:br w:type="page"/>
      </w: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bl>
    <w:p>
      <w:pPr>
        <w:spacing w:after="80"/>
      </w:pPr>
    </w:p>
    <w:p>
      <w:pPr>
        <w:pStyle w:val="Heading1"/>
      </w:pPr>
      <w:r>
        <w:t>12. Practical Caveats</w:t>
      </w:r>
    </w:p>
    <w:p>
      <w:pPr>
        <w:pStyle w:val="ListBullet"/>
      </w:pPr>
      <w:r>
        <w:t>The published dashboard is only as current as the most recent successful local refresh and GitHub Pages deployment.</w:t>
      </w:r>
    </w:p>
    <w:p>
      <w:pPr>
        <w:pStyle w:val="ListBullet"/>
      </w:pPr>
      <w:r>
        <w:t>The ? buttons provide quick panel context in the website. They are not a replacement for this guide or the Markdown data dictionary.</w:t>
      </w:r>
    </w:p>
    <w:p>
      <w:pPr>
        <w:pStyle w:val="ListBullet"/>
      </w:pPr>
      <w:r>
        <w:t>Workbook labels and sheet names matter. If a source workbook changes structure, the refresh may need a code update.</w:t>
      </w:r>
    </w:p>
    <w:p>
      <w:pPr>
        <w:pStyle w:val="ListBullet"/>
      </w:pPr>
      <w:r>
        <w:t>The July 1 Council dashboard workbook is broadly usable, but a small number of real Excel error cells exist, concentrated in Renewal Prep and some Objectives - Commissioners fields. Those fields should be treated cautiously until the workbook formulas are repaired.</w:t>
      </w:r>
    </w:p>
    <w:p>
      <w:pPr>
        <w:pStyle w:val="ListBullet"/>
      </w:pPr>
      <w:r>
        <w:t>Expiration checks on the Training and SYT pages use the viewer browser's current date.</w:t>
      </w:r>
    </w:p>
    <w:p>
      <w:pPr>
        <w:pStyle w:val="ListBullet"/>
      </w:pPr>
      <w:r>
        <w:t>Freshness timestamps are displayed in the viewer browser's local timezone, so the same data snapshot can show different clock times to viewers in different timezones.</w:t>
      </w:r>
    </w:p>
    <w:p>
      <w:pPr>
        <w:pStyle w:val="ListBullet"/>
      </w:pPr>
      <w:r>
        <w:t>The SYT detail page flags SYT for all leaders. It flags Hazardous Weather, BALOO, and IOLS only when they are required by the leader's role and unit type.</w:t>
      </w:r>
    </w:p>
    <w:p>
      <w:pPr>
        <w:pStyle w:val="ListBullet"/>
      </w:pPr>
      <w:r>
        <w:t>monday.com district labels can include operational labels that are not official dashboard districts; official district charts filter those out.</w:t>
      </w:r>
    </w:p>
    <w:p>
      <w:pPr>
        <w:pStyle w:val="ListBullet"/>
      </w:pPr>
      <w:r>
        <w:t>Service Area filters are based on the maintained district mapping, not on source workbook columns.</w:t>
      </w:r>
    </w:p>
    <w:p>
      <w:pPr>
        <w:pStyle w:val="ListBullet"/>
      </w:pPr>
      <w:r>
        <w:t>The Markdown data dictionary remains the best place for exact formulas and implementation details.</w:t>
      </w:r>
    </w:p>
    <w:p>
      <w:r>
        <w:br w:type="page"/>
      </w: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Maintained district-to-Service-Area mapping applied after official district normalization.</w:t>
            </w:r>
          </w:p>
        </w:tc>
      </w:tr>
    </w:tbl>
    <w:p>
      <w:pPr>
        <w:spacing w:after="80"/>
      </w:pPr>
    </w:p>
    <w:p>
      <w:pPr>
        <w:pStyle w:val="Heading2"/>
      </w:pPr>
      <w:r>
        <w:t>Where to look for exact source details</w:t>
      </w:r>
    </w:p>
    <w:p>
      <w:pPr>
        <w:pStyle w:val="ListBullet"/>
      </w:pPr>
      <w:r>
        <w:t>`DASHBOARD_DATA_DICTIONARY.md` documents the full data dictionary and formulas.</w:t>
      </w:r>
    </w:p>
    <w:p>
      <w:pPr>
        <w:pStyle w:val="ListBullet"/>
      </w:pPr>
      <w:r>
        <w:t>`IMPLEMENTATION_RUNBOOK.md` documents technical setup, source acquisition, automation, validation, and rebuild requirements.</w:t>
      </w:r>
    </w:p>
    <w:p>
      <w:pPr>
        <w:pStyle w:val="ListBullet"/>
      </w:pPr>
      <w:r>
        <w:t>`update_daily.zsh` documents the automation order.</w:t>
      </w:r>
    </w:p>
    <w:p>
      <w:pPr>
        <w:pStyle w:val="ListBullet"/>
      </w:pPr>
      <w:r>
        <w:t>`panel-help.js` documents the website's active ? help popover behavior.</w:t>
      </w:r>
    </w:p>
    <w:p>
      <w:pPr>
        <w:pStyle w:val="ListBullet"/>
      </w:pPr>
      <w:r>
        <w:t>`refresh_monday_data.py` documents the monday.com workbook/API extraction.</w:t>
      </w:r>
    </w:p>
    <w:p>
      <w:pPr>
        <w:pStyle w:val="ListBullet"/>
      </w:pPr>
      <w: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