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23,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2026-08-23_Dashboard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2026-08-23_CST7.xlsx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11,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8,116</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n/a</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296</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128 (43.2%)</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84 (28.4%)</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100</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5,672</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District PIN Detail shows Last Updated between PIN Status and Required PIN Details. Unit Profile shows Last Updated directly below PIN status and freshness; it uses the formatted calendar date, Not recorded for a matched PIN without a usable date, and n/a for an unmatched unit. The public data contains only the last-updated date and completion flags, not the raw timestamp or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and freshness, PIN Last Updated, overall Required PIN Details, separate status, contact, and meeting completion categories in Unit Profile,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current Unit Leader, Committee Chair, and COR/CUR coverage, which positions are missing, and how completion compares by unit type. Status offers All statuses, Complete, Missing 1, Missing 2, Missing 3, 1 or more expired SYTs, and 1 or more SYTs expiring within 90 days and combines with the other filters. Detail is organized in collapsible Service Area and District groups and shows SYT expiration beneath each holder. Dates due within 90 days are yellow and expired dates are red. Either a current COR or CUR satisfies the third position.</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Recruitment Pipeline shows Schools with Unit Affiliation / Total as verified current monday.com board relationships divided by all schools in the same TAY rollup. The daily refresh checks every exported school and does not interpret blank exported relation text as no affiliation.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 current program-specific Unit Leader, Committee Chair, and either a current COR or CUR, divided by all tracked units in the selected view.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p>
      <w:r>
        <w:br w:type="page"/>
      </w:r>
    </w:p>
    <w:p>
      <w:pPr>
        <w:pStyle w:val="Heading1"/>
      </w:pPr>
      <w:r>
        <w:rPr>
          <w:rFonts w:ascii="Roboto Slab" w:hAnsi="Roboto Slab"/>
          <w:color w:val="000000"/>
        </w:rPr>
        <w:t>Membership Follow Up</w:t>
      </w:r>
    </w:p>
    <w:p>
      <w:r>
        <w:rPr>
          <w:rFonts w:ascii="Figtree" w:hAnsi="Figtree"/>
          <w:sz w:val="22"/>
        </w:rPr>
        <w:t>The October 5, 2026 update adds Membership Follow-up under Unit Health &amp; Renewal. It brings the Dashboard workbook’s operational queues and renewal calendar into one filtered view. All values refresh from the daily workbook; the counts observed on October 5 are examples, not fixed requirements.</w:t>
      </w:r>
    </w:p>
    <w:p>
      <w:r>
        <w:rPr>
          <w:rFonts w:ascii="Figtree" w:hAnsi="Figtree"/>
          <w:sz w:val="22"/>
        </w:rPr>
        <w:t>Missing Key 3 uses the Units Missing Key3 flag, matching the Training Dive queue. This is separate from the training-derived Unit Key 3 Coverage definition. Zero Total Youth includes only recorded zero values; missing counts fail validation.</w:t>
      </w:r>
    </w:p>
    <w:p>
      <w:r>
        <w:rPr>
          <w:rFonts w:ascii="Figtree" w:hAnsi="Figtree"/>
          <w:sz w:val="22"/>
        </w:rPr>
        <w:t>Unit Renewal Readiness includes only units present in Renewal Prep, which is scoped to the workbook renewal window or grace period. Fix before Renewal reconciles to the Youth issue and all R (registration), S (SYT), and N (missing holder) flags. Unflagged roles are not independently certified, and units absent from this sheet are not classified as ready.</w:t>
      </w:r>
    </w:p>
    <w:p>
      <w:r>
        <w:rPr>
          <w:rFonts w:ascii="Figtree" w:hAnsi="Figtree"/>
          <w:sz w:val="22"/>
        </w:rPr>
        <w:t>Unit Renewal Calendar counts every Units record once by its Renewal month, including dates outside the principal cohorts and dates not recorded. These are unit renewal dates, not member expiration dates or projected drop dates.</w:t>
      </w:r>
    </w:p>
    <w:p>
      <w:r>
        <w:rPr>
          <w:rFonts w:ascii="Figtree" w:hAnsi="Figtree"/>
          <w:sz w:val="22"/>
        </w:rPr>
        <w:t>Service Area, District, Search, and the master program filter combine across these panels. Units missing from the separate Unit Metric Scorecard remain visible and are marked Not in Unit-Level source. Public readiness rows expose only unit identities and issue flags; no holder names, member IDs, or private PIN values are included.</w:t>
      </w:r>
    </w:p>
    <w:p>
      <w:r>
        <w:rPr>
          <w:rFonts w:ascii="Figtree" w:hAnsi="Figtree"/>
          <w:sz w:val="22"/>
        </w:rPr>
        <w:t>Beginning January 1, 2027, membership renewals will no longer have a grace period, as confirmed by the council user. Member renewal dates remain separate from unit renewal dates. No new drop deadline is inferred by this update.</w:t>
      </w:r>
    </w:p>
    <w:p>
      <w:r>
        <w:rPr>
          <w:rFonts w:ascii="Figtree" w:hAnsi="Figtree"/>
          <w:sz w:val="22"/>
        </w:rPr>
        <w:t>Membership Intelligence labels the YTD recruiting period and prior-year comparison explicitly. Recruiting through the same month in each year differs from comparing total membership against prior December. These manually updated councilwide trends do not recalculate under district or program filters.</w:t>
      </w:r>
    </w:p>
    <w:p>
      <w:r>
        <w:br w:type="page"/>
      </w:r>
    </w:p>
    <w:p>
      <w:pPr>
        <w:keepNext/>
        <w:spacing w:after="240"/>
      </w:pPr>
      <w:r>
        <w:rPr>
          <w:rFonts w:ascii="Arial" w:hAnsi="Arial"/>
          <w:b/>
          <w:color w:val="051F4C"/>
          <w:sz w:val="40"/>
        </w:rPr>
        <w:t>Renewal Outreach by Movo</w:t>
      </w:r>
    </w:p>
    <w:p>
      <w:pPr>
        <w:spacing w:after="180" w:line="259" w:lineRule="auto"/>
      </w:pPr>
      <w:r>
        <w:rPr>
          <w:rFonts w:ascii="Arial" w:hAnsi="Arial"/>
          <w:b/>
          <w:color w:val="051F4C"/>
          <w:sz w:val="20"/>
        </w:rPr>
        <w:t>Movo outreach population</w:t>
        <w:br/>
      </w:r>
      <w:r>
        <w:rPr>
          <w:rFonts w:ascii="Arial" w:hAnsi="Arial"/>
          <w:b w:val="0"/>
          <w:color w:val="051F4C"/>
          <w:sz w:val="20"/>
        </w:rPr>
        <w:t>Open District Performance &gt; Renewal Outreach by Movo for renewal progress within the Movo outreach extract. These counts and rates do not represent every Capitol Area Council member due to renew. Movo clarified that its performance dashboard covers members it has messaged; the extract also explicitly retains Not yet messaged records. Inclusion alone does not establish contact. Household-wide outreach can include members due in later months before their dedicated campaign starts. A month appearing in the extract does not establish campaign activation.</w:t>
      </w:r>
    </w:p>
    <w:p>
      <w:pPr>
        <w:spacing w:after="180" w:line="259" w:lineRule="auto"/>
      </w:pPr>
      <w:r>
        <w:rPr>
          <w:rFonts w:ascii="Arial" w:hAnsi="Arial"/>
          <w:b/>
          <w:color w:val="051F4C"/>
          <w:sz w:val="20"/>
        </w:rPr>
        <w:t>Filters and comparisons</w:t>
        <w:br/>
      </w:r>
      <w:r>
        <w:rPr>
          <w:rFonts w:ascii="Arial" w:hAnsi="Arial"/>
          <w:b w:val="0"/>
          <w:color w:val="051F4C"/>
          <w:sz w:val="20"/>
        </w:rPr>
        <w:t>Cohort and District apply to renewal cards, district comparisons, adult/youth progress, reasons, daily history and CSV. The export carries an explicit Movo population scope. Outreach coverage and timing combine both cohorts and follow District only. There is no program-type breakdown. Historical changes may reflect changing outreach coverage or cohort membership as well as renewals; missing days are not interpolated.</w:t>
      </w:r>
    </w:p>
    <w:p>
      <w:pPr>
        <w:spacing w:after="180" w:line="259" w:lineRule="auto"/>
      </w:pPr>
      <w:r>
        <w:rPr>
          <w:rFonts w:ascii="Arial" w:hAnsi="Arial"/>
          <w:b/>
          <w:color w:val="051F4C"/>
          <w:sz w:val="20"/>
        </w:rPr>
        <w:t>Renewal and follow-up measures</w:t>
        <w:br/>
      </w:r>
      <w:r>
        <w:rPr>
          <w:rFonts w:ascii="Arial" w:hAnsi="Arial"/>
          <w:b w:val="0"/>
          <w:color w:val="051F4C"/>
          <w:sz w:val="20"/>
        </w:rPr>
        <w:t>Renewal rate (Movo) = renewed in the extract divided by members due in that extract. Outstanding (Movo) = extract members due minus extract members renewed, including said no. No council-wide denominator is supplied. The denominator retains all source-reported members, including Not yet messaged records; the total is not a contacted-member count. Missing optional age/reason data and zero-denominator rates are unavailable. Not reached differs from Not yet messaged. Reply rate = replies divided by members messaged. Message timing does not establish causal impact. These measures are not annual retention.</w:t>
      </w:r>
    </w:p>
    <w:p>
      <w:pPr>
        <w:spacing w:after="180" w:line="259" w:lineRule="auto"/>
      </w:pPr>
      <w:r>
        <w:rPr>
          <w:rFonts w:ascii="Arial" w:hAnsi="Arial"/>
          <w:b/>
          <w:color w:val="051F4C"/>
          <w:sz w:val="20"/>
        </w:rPr>
        <w:t>Freshness and daily history</w:t>
        <w:br/>
      </w:r>
      <w:r>
        <w:rPr>
          <w:rFonts w:ascii="Arial" w:hAnsi="Arial"/>
          <w:b w:val="0"/>
          <w:color w:val="051F4C"/>
          <w:sz w:val="20"/>
        </w:rPr>
        <w:t>Source updated is the Sheet modification time in America/Chicago; a separate Movo observation timestamp is unavailable. Prior-day data is visibly stale. Daily refresh validates complete, unchanged same-day captures and reconciled source totals before replacement, retaining the prior publication on failure. History keeps the latest validated update per source day, up to 90 days, beginning at first capture. The October 31, 2026 clarification about December outreach is dated context, not current campaign status.</w:t>
      </w:r>
    </w:p>
    <w:p>
      <w:pPr>
        <w:spacing w:after="180" w:line="259" w:lineRule="auto"/>
      </w:pPr>
      <w:r>
        <w:rPr>
          <w:rFonts w:ascii="Arial" w:hAnsi="Arial"/>
          <w:b/>
          <w:color w:val="051F4C"/>
          <w:sz w:val="20"/>
        </w:rPr>
        <w:t>Public data</w:t>
        <w:br/>
      </w:r>
      <w:r>
        <w:rPr>
          <w:rFonts w:ascii="Arial" w:hAnsi="Arial"/>
          <w:b w:val="0"/>
          <w:color w:val="051F4C"/>
          <w:sz w:val="20"/>
        </w:rPr>
        <w:t>Only source-reported council/district aggregates are public. No member rows, names, IDs, contacts, private paths or credentials are published. Person-level deduplication and concurrent registrations cannot be independently verified from this summary. Use the Dashboard Guide for current controls and source behavior.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