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Sep 6,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2026-09-06_Dashboard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2026-09-06_CST7.xlsx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2026-09-06_Membership-Hub-Field-Service-monday-export.xlsx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6,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8,541</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3,577</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67.1%</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119 (40.1%)</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92 (31.0%)</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5,811</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205</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99 (35.2%)</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Unit Key 3 holders,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The public data contains only completion flags, not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Unit Key 3 coverage,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Required PIN Details in Commissioner Context, and Pack/Troop camping-readiness status.</w:t>
            </w:r>
          </w:p>
        </w:tc>
      </w:tr>
      <w:tr>
        <w:trPr>
          <w:cantSplit/>
        </w:trPr>
        <w:tc>
          <w:tcPr>
            <w:tcW w:type="dxa" w:w="2100"/>
          </w:tcPr>
          <w:p>
            <w:pPr>
              <w:spacing w:after="0"/>
            </w:pPr>
            <w:r>
              <w:rPr>
                <w:rFonts w:ascii="Calibri" w:hAnsi="Calibri"/>
                <w:color w:val="122033"/>
                <w:sz w:val="19"/>
              </w:rPr>
              <w:t>Unit Key 3 Coverage</w:t>
            </w:r>
          </w:p>
        </w:tc>
        <w:tc>
          <w:tcPr>
            <w:tcW w:type="dxa" w:w="7260"/>
          </w:tcPr>
          <w:p>
            <w:pPr>
              <w:spacing w:after="0"/>
            </w:pPr>
            <w:r>
              <w:rPr>
                <w:rFonts w:ascii="Calibri" w:hAnsi="Calibri"/>
                <w:color w:val="122033"/>
                <w:sz w:val="19"/>
              </w:rPr>
              <w:t>Which units have current Unit Leader, Committee Chair, and COR/CUR coverage, which positions are missing, and how completion compares by unit type. Detail is organized in collapsible Service Area and District groups and shows SYT expiration beneath each holder, with expired or 90-day dates in red. Either a current COR or CUR satisfies the third position.</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Unit Key 3 completion</w:t>
            </w:r>
          </w:p>
        </w:tc>
        <w:tc>
          <w:tcPr>
            <w:tcW w:type="dxa" w:w="6660"/>
          </w:tcPr>
          <w:p>
            <w:pPr>
              <w:spacing w:after="0"/>
            </w:pPr>
            <w:r>
              <w:rPr>
                <w:rFonts w:ascii="Calibri" w:hAnsi="Calibri"/>
                <w:color w:val="122033"/>
                <w:sz w:val="19"/>
              </w:rPr>
              <w:t>Tracked units with a current program-specific Unit Leader, Committee Chair, and either a current COR or CUR, divided by all tracked units in the selected view. Current means registration expiration is on or after the report date.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