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left"/>
      </w:pPr>
      <w:r>
        <w:drawing>
          <wp:inline xmlns:a="http://schemas.openxmlformats.org/drawingml/2006/main" xmlns:pic="http://schemas.openxmlformats.org/drawingml/2006/picture">
            <wp:extent cx="2011680" cy="442700"/>
            <wp:docPr id="1" name="Picture 1" title="Capitol Area Council" descr="Capitol Area Council logo"/>
            <wp:cNvGraphicFramePr>
              <a:graphicFrameLocks noChangeAspect="1"/>
            </wp:cNvGraphicFramePr>
            <a:graphic>
              <a:graphicData uri="http://schemas.openxmlformats.org/drawingml/2006/picture">
                <pic:pic>
                  <pic:nvPicPr>
                    <pic:cNvPr id="0" name="cac-logo.png"/>
                    <pic:cNvPicPr/>
                  </pic:nvPicPr>
                  <pic:blipFill>
                    <a:blip r:embed="rId11"/>
                    <a:stretch>
                      <a:fillRect/>
                    </a:stretch>
                  </pic:blipFill>
                  <pic:spPr>
                    <a:xfrm>
                      <a:off x="0" y="0"/>
                      <a:ext cx="2011680" cy="442700"/>
                    </a:xfrm>
                    <a:prstGeom prst="rect"/>
                  </pic:spPr>
                </pic:pic>
              </a:graphicData>
            </a:graphic>
          </wp:inline>
        </w:drawing>
      </w:r>
    </w:p>
    <w:p>
      <w:pPr>
        <w:spacing w:after="100"/>
      </w:pPr>
      <w:r>
        <w:rPr>
          <w:rFonts w:ascii="Calibri" w:hAnsi="Calibri"/>
          <w:b/>
          <w:color w:val="2E74B5"/>
          <w:sz w:val="20"/>
        </w:rPr>
        <w:t>Council Dashboard Summary</w:t>
      </w:r>
    </w:p>
    <w:p>
      <w:pPr>
        <w:spacing w:after="80"/>
      </w:pPr>
      <w:r>
        <w:rPr>
          <w:rFonts w:ascii="Calibri" w:hAnsi="Calibri"/>
          <w:b/>
          <w:color w:val="122033"/>
          <w:sz w:val="50"/>
        </w:rPr>
        <w:t>Source and Calculation Guide</w:t>
      </w:r>
    </w:p>
    <w:p>
      <w:pPr>
        <w:spacing w:after="360"/>
        <w:pBdr>
          <w:bottom w:val="single" w:sz="10" w:space="8" w:color="2E74B5"/>
        </w:pBdr>
      </w:pPr>
      <w:r>
        <w:rPr>
          <w:rFonts w:ascii="Calibri" w:hAnsi="Calibri"/>
          <w:color w:val="536174"/>
          <w:sz w:val="25"/>
        </w:rPr>
        <w:t>A plain-English guide to where dashboard values come from, how they are refreshed, how major metrics are calculated, and how the in-dashboard help works.</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400"/>
        <w:gridCol w:w="6960"/>
      </w:tblGrid>
      <w:tr>
        <w:trPr>
          <w:cantSplit/>
          <w:tblHeader w:val="true"/>
        </w:trPr>
        <w:tc>
          <w:tcPr>
            <w:tcW w:type="dxa" w:w="2400"/>
            <w:tcMar>
              <w:top w:w="80" w:type="dxa"/>
              <w:start w:w="120" w:type="dxa"/>
              <w:bottom w:w="80" w:type="dxa"/>
              <w:end w:w="120" w:type="dxa"/>
            </w:tcMar>
            <w:vAlign w:val="center"/>
            <w:shd w:fill="E8EEF5"/>
          </w:tcPr>
          <w:p>
            <w:pPr>
              <w:spacing w:after="0"/>
            </w:pPr>
            <w:r>
              <w:rPr>
                <w:rFonts w:ascii="Calibri" w:hAnsi="Calibri"/>
                <w:b/>
                <w:color w:val="122033"/>
                <w:sz w:val="19"/>
              </w:rPr>
              <w:t>Item</w:t>
            </w:r>
          </w:p>
        </w:tc>
        <w:tc>
          <w:tcPr>
            <w:tcW w:type="dxa" w:w="6960"/>
            <w:tcMar>
              <w:top w:w="80" w:type="dxa"/>
              <w:start w:w="120" w:type="dxa"/>
              <w:bottom w:w="80" w:type="dxa"/>
              <w:end w:w="120" w:type="dxa"/>
            </w:tcMar>
            <w:vAlign w:val="center"/>
            <w:shd w:fill="E8EEF5"/>
          </w:tcPr>
          <w:p>
            <w:pPr>
              <w:spacing w:after="0"/>
            </w:pPr>
            <w:r>
              <w:rPr>
                <w:rFonts w:ascii="Calibri" w:hAnsi="Calibri"/>
                <w:b/>
                <w:color w:val="122033"/>
                <w:sz w:val="19"/>
              </w:rPr>
              <w:t>Current source / value</w:t>
            </w:r>
          </w:p>
        </w:tc>
      </w:tr>
      <w:tr>
        <w:trPr>
          <w:cantSplit/>
        </w:trPr>
        <w:tc>
          <w:tcPr>
            <w:tcW w:type="dxa" w:w="2400"/>
          </w:tcPr>
          <w:p>
            <w:pPr>
              <w:spacing w:after="0"/>
            </w:pPr>
            <w:r>
              <w:rPr>
                <w:rFonts w:ascii="Calibri" w:hAnsi="Calibri"/>
                <w:color w:val="122033"/>
                <w:sz w:val="19"/>
              </w:rPr>
              <w:t>Data current</w:t>
            </w:r>
          </w:p>
        </w:tc>
        <w:tc>
          <w:tcPr>
            <w:tcW w:type="dxa" w:w="6960"/>
          </w:tcPr>
          <w:p>
            <w:pPr>
              <w:spacing w:after="0"/>
            </w:pPr>
            <w:r>
              <w:rPr>
                <w:rFonts w:ascii="Calibri" w:hAnsi="Calibri"/>
                <w:color w:val="122033"/>
                <w:sz w:val="19"/>
              </w:rPr>
              <w:t>Aug 23, 2026</w:t>
            </w:r>
          </w:p>
        </w:tc>
      </w:tr>
      <w:tr>
        <w:trPr>
          <w:cantSplit/>
        </w:trPr>
        <w:tc>
          <w:tcPr>
            <w:tcW w:type="dxa" w:w="2400"/>
          </w:tcPr>
          <w:p>
            <w:pPr>
              <w:spacing w:after="0"/>
            </w:pPr>
            <w:r>
              <w:rPr>
                <w:rFonts w:ascii="Calibri" w:hAnsi="Calibri"/>
                <w:color w:val="122033"/>
                <w:sz w:val="19"/>
              </w:rPr>
              <w:t>Dashboard workbook</w:t>
            </w:r>
          </w:p>
        </w:tc>
        <w:tc>
          <w:tcPr>
            <w:tcW w:type="dxa" w:w="6960"/>
          </w:tcPr>
          <w:p>
            <w:pPr>
              <w:spacing w:after="0"/>
            </w:pPr>
            <w:r>
              <w:rPr>
                <w:rFonts w:ascii="Calibri" w:hAnsi="Calibri"/>
                <w:color w:val="122033"/>
                <w:sz w:val="19"/>
              </w:rPr>
              <w:t>2026-08-23_Dashboard - CAC.xlsx</w:t>
            </w:r>
          </w:p>
        </w:tc>
      </w:tr>
      <w:tr>
        <w:trPr>
          <w:cantSplit/>
        </w:trPr>
        <w:tc>
          <w:tcPr>
            <w:tcW w:type="dxa" w:w="2400"/>
          </w:tcPr>
          <w:p>
            <w:pPr>
              <w:spacing w:after="0"/>
            </w:pPr>
            <w:r>
              <w:rPr>
                <w:rFonts w:ascii="Calibri" w:hAnsi="Calibri"/>
                <w:color w:val="122033"/>
                <w:sz w:val="19"/>
              </w:rPr>
              <w:t>CST workbook</w:t>
            </w:r>
          </w:p>
        </w:tc>
        <w:tc>
          <w:tcPr>
            <w:tcW w:type="dxa" w:w="6960"/>
          </w:tcPr>
          <w:p>
            <w:pPr>
              <w:spacing w:after="0"/>
            </w:pPr>
            <w:r>
              <w:rPr>
                <w:rFonts w:ascii="Calibri" w:hAnsi="Calibri"/>
                <w:color w:val="122033"/>
                <w:sz w:val="19"/>
              </w:rPr>
              <w:t>2026-08-23_CST7.xlsx</w:t>
            </w:r>
          </w:p>
        </w:tc>
      </w:tr>
      <w:tr>
        <w:trPr>
          <w:cantSplit/>
        </w:trPr>
        <w:tc>
          <w:tcPr>
            <w:tcW w:type="dxa" w:w="2400"/>
          </w:tcPr>
          <w:p>
            <w:pPr>
              <w:spacing w:after="0"/>
            </w:pPr>
            <w:r>
              <w:rPr>
                <w:rFonts w:ascii="Calibri" w:hAnsi="Calibri"/>
                <w:color w:val="122033"/>
                <w:sz w:val="19"/>
              </w:rPr>
              <w:t>monday.com workbook</w:t>
            </w:r>
          </w:p>
        </w:tc>
        <w:tc>
          <w:tcPr>
            <w:tcW w:type="dxa" w:w="6960"/>
          </w:tcPr>
          <w:p>
            <w:pPr>
              <w:spacing w:after="0"/>
            </w:pPr>
            <w:r>
              <w:rPr>
                <w:rFonts w:ascii="Calibri" w:hAnsi="Calibri"/>
                <w:color w:val="122033"/>
                <w:sz w:val="19"/>
              </w:rPr>
              <w:t>2026-08-23_Membership-Hub-Field-Service-monday-export.xlsx</w:t>
            </w:r>
          </w:p>
        </w:tc>
      </w:tr>
      <w:tr>
        <w:trPr>
          <w:cantSplit/>
        </w:trPr>
        <w:tc>
          <w:tcPr>
            <w:tcW w:type="dxa" w:w="2400"/>
          </w:tcPr>
          <w:p>
            <w:pPr>
              <w:spacing w:after="0"/>
            </w:pPr>
            <w:r>
              <w:rPr>
                <w:rFonts w:ascii="Calibri" w:hAnsi="Calibri"/>
                <w:color w:val="122033"/>
                <w:sz w:val="19"/>
              </w:rPr>
              <w:t>Guide generated</w:t>
            </w:r>
          </w:p>
        </w:tc>
        <w:tc>
          <w:tcPr>
            <w:tcW w:type="dxa" w:w="6960"/>
          </w:tcPr>
          <w:p>
            <w:pPr>
              <w:spacing w:after="0"/>
            </w:pPr>
            <w:r>
              <w:rPr>
                <w:rFonts w:ascii="Calibri" w:hAnsi="Calibri"/>
                <w:color w:val="122033"/>
                <w:sz w:val="19"/>
              </w:rPr>
              <w:t>Sep 11, 2026</w:t>
            </w:r>
          </w:p>
        </w:tc>
      </w:tr>
      <w:tr>
        <w:trPr>
          <w:cantSplit/>
        </w:trPr>
        <w:tc>
          <w:tcPr>
            <w:tcW w:type="dxa" w:w="2400"/>
          </w:tcPr>
          <w:p>
            <w:pPr>
              <w:spacing w:after="0"/>
            </w:pPr>
            <w:r>
              <w:rPr>
                <w:rFonts w:ascii="Calibri" w:hAnsi="Calibri"/>
                <w:color w:val="122033"/>
                <w:sz w:val="19"/>
              </w:rPr>
              <w:t>Published site</w:t>
            </w:r>
          </w:p>
        </w:tc>
        <w:tc>
          <w:tcPr>
            <w:tcW w:type="dxa" w:w="6960"/>
          </w:tcPr>
          <w:p>
            <w:pPr>
              <w:spacing w:after="0"/>
            </w:pPr>
            <w:r>
              <w:rPr>
                <w:rFonts w:ascii="Calibri" w:hAnsi="Calibri"/>
                <w:color w:val="122033"/>
                <w:sz w:val="19"/>
              </w:rPr>
              <w:t>https://pbsargent.github.io/council-dashboard-summary/</w:t>
            </w:r>
          </w:p>
        </w:tc>
      </w:tr>
    </w:tbl>
    <w:p>
      <w:pPr>
        <w:spacing w:after="8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Reader promise</w:t>
            </w:r>
          </w:p>
          <w:p>
            <w:pPr>
              <w:spacing w:after="0"/>
            </w:pPr>
            <w:r>
              <w:rPr>
                <w:rFonts w:ascii="Calibri" w:hAnsi="Calibri"/>
                <w:color w:val="122033"/>
                <w:sz w:val="21"/>
              </w:rPr>
              <w:t>This guide avoids code-level detail unless a formula matters. The dashboard's ? buttons provide brief panel-level help; this document provides the deeper source and calculation context. For exact implementation and edge cases, use the Markdown data dictionary in the repository.</w:t>
            </w:r>
          </w:p>
        </w:tc>
      </w:tr>
    </w:tbl>
    <w:p>
      <w:pPr>
        <w:spacing w:after="40"/>
      </w:pPr>
    </w:p>
    <w:p>
      <w:r>
        <w:br w:type="page"/>
      </w:r>
    </w:p>
    <w:p>
      <w:pPr>
        <w:pStyle w:val="Heading1"/>
      </w:pPr>
      <w:r>
        <w:t>1. What The Dashboard Is</w:t>
      </w:r>
    </w:p>
    <w:p>
      <w:pPr>
        <w:pStyle w:val="BodyText"/>
      </w:pPr>
      <w:r>
        <w:t>The Council Dashboard Summary is a static web dashboard for Capitol Area Council operating review. It brings together membership, retention, unit health, renewal, training, camping readiness, safeguarding, commissioner coverage, Service Area context, CST comparison, recruitment, and monday.com operating context.</w:t>
      </w:r>
    </w:p>
    <w:p>
      <w:pPr>
        <w:pStyle w:val="BodyText"/>
      </w:pPr>
      <w:r>
        <w:t>The website itself is static. It does not connect directly to Google Drive or monday.com when someone opens it. Instead, a daily local refresh process creates compact JSON and JavaScript data bundles in an isolated staging tree, verifies the payload, and deploys it through GitHub Pages Actions. Generated daily data is not committed to the source repository.</w:t>
      </w:r>
    </w:p>
    <w:p>
      <w:pPr>
        <w:pStyle w:val="BodyText"/>
      </w:pPr>
      <w:r>
        <w:t>Most major panels include a circular ? help control. Hovering, focusing, or clicking that control opens a short explanation of the panel's source and meaning. Those panel notes are intentionally brief; this guide remains the fuller reference.</w:t>
      </w:r>
    </w:p>
    <w:p>
      <w:pPr>
        <w:pStyle w:val="Heading2"/>
      </w:pPr>
      <w:r>
        <w:t>At-a-glance data currently published</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3000"/>
        <w:gridCol w:w="6360"/>
      </w:tblGrid>
      <w:tr>
        <w:trPr>
          <w:cantSplit/>
          <w:tblHeader w:val="true"/>
        </w:trPr>
        <w:tc>
          <w:tcPr>
            <w:tcW w:type="dxa" w:w="3000"/>
            <w:tcMar>
              <w:top w:w="80" w:type="dxa"/>
              <w:start w:w="120" w:type="dxa"/>
              <w:bottom w:w="80" w:type="dxa"/>
              <w:end w:w="120" w:type="dxa"/>
            </w:tcMar>
            <w:vAlign w:val="center"/>
            <w:shd w:fill="E8EEF5"/>
          </w:tcPr>
          <w:p>
            <w:pPr>
              <w:spacing w:after="0"/>
            </w:pPr>
            <w:r>
              <w:rPr>
                <w:rFonts w:ascii="Calibri" w:hAnsi="Calibri"/>
                <w:b/>
                <w:color w:val="122033"/>
                <w:sz w:val="19"/>
              </w:rPr>
              <w:t>Area</w:t>
            </w:r>
          </w:p>
        </w:tc>
        <w:tc>
          <w:tcPr>
            <w:tcW w:type="dxa" w:w="6360"/>
            <w:tcMar>
              <w:top w:w="80" w:type="dxa"/>
              <w:start w:w="120" w:type="dxa"/>
              <w:bottom w:w="80" w:type="dxa"/>
              <w:end w:w="120" w:type="dxa"/>
            </w:tcMar>
            <w:vAlign w:val="center"/>
            <w:shd w:fill="E8EEF5"/>
          </w:tcPr>
          <w:p>
            <w:pPr>
              <w:spacing w:after="0"/>
            </w:pPr>
            <w:r>
              <w:rPr>
                <w:rFonts w:ascii="Calibri" w:hAnsi="Calibri"/>
                <w:b/>
                <w:color w:val="122033"/>
                <w:sz w:val="19"/>
              </w:rPr>
              <w:t>Current value</w:t>
            </w:r>
          </w:p>
        </w:tc>
      </w:tr>
      <w:tr>
        <w:trPr>
          <w:cantSplit/>
        </w:trPr>
        <w:tc>
          <w:tcPr>
            <w:tcW w:type="dxa" w:w="3000"/>
          </w:tcPr>
          <w:p>
            <w:pPr>
              <w:spacing w:after="0"/>
            </w:pPr>
            <w:r>
              <w:rPr>
                <w:rFonts w:ascii="Calibri" w:hAnsi="Calibri"/>
                <w:color w:val="122033"/>
                <w:sz w:val="19"/>
              </w:rPr>
              <w:t>Youth membership</w:t>
            </w:r>
          </w:p>
        </w:tc>
        <w:tc>
          <w:tcPr>
            <w:tcW w:type="dxa" w:w="6360"/>
          </w:tcPr>
          <w:p>
            <w:pPr>
              <w:spacing w:after="0"/>
            </w:pPr>
            <w:r>
              <w:rPr>
                <w:rFonts w:ascii="Calibri" w:hAnsi="Calibri"/>
                <w:color w:val="122033"/>
                <w:sz w:val="19"/>
              </w:rPr>
              <w:t>8,116</w:t>
            </w:r>
          </w:p>
        </w:tc>
      </w:tr>
      <w:tr>
        <w:trPr>
          <w:cantSplit/>
        </w:trPr>
        <w:tc>
          <w:tcPr>
            <w:tcW w:type="dxa" w:w="3000"/>
          </w:tcPr>
          <w:p>
            <w:pPr>
              <w:spacing w:after="0"/>
            </w:pPr>
            <w:r>
              <w:rPr>
                <w:rFonts w:ascii="Calibri" w:hAnsi="Calibri"/>
                <w:color w:val="122033"/>
                <w:sz w:val="19"/>
              </w:rPr>
              <w:t>Volunteers</w:t>
            </w:r>
          </w:p>
        </w:tc>
        <w:tc>
          <w:tcPr>
            <w:tcW w:type="dxa" w:w="6360"/>
          </w:tcPr>
          <w:p>
            <w:pPr>
              <w:spacing w:after="0"/>
            </w:pPr>
            <w:r>
              <w:rPr>
                <w:rFonts w:ascii="Calibri" w:hAnsi="Calibri"/>
                <w:color w:val="122033"/>
                <w:sz w:val="19"/>
              </w:rPr>
              <w:t>n/a</w:t>
            </w:r>
          </w:p>
        </w:tc>
      </w:tr>
      <w:tr>
        <w:trPr>
          <w:cantSplit/>
        </w:trPr>
        <w:tc>
          <w:tcPr>
            <w:tcW w:type="dxa" w:w="3000"/>
          </w:tcPr>
          <w:p>
            <w:pPr>
              <w:spacing w:after="0"/>
            </w:pPr>
            <w:r>
              <w:rPr>
                <w:rFonts w:ascii="Calibri" w:hAnsi="Calibri"/>
                <w:color w:val="122033"/>
                <w:sz w:val="19"/>
              </w:rPr>
              <w:t>Retention</w:t>
            </w:r>
          </w:p>
        </w:tc>
        <w:tc>
          <w:tcPr>
            <w:tcW w:type="dxa" w:w="6360"/>
          </w:tcPr>
          <w:p>
            <w:pPr>
              <w:spacing w:after="0"/>
            </w:pPr>
            <w:r>
              <w:rPr>
                <w:rFonts w:ascii="Calibri" w:hAnsi="Calibri"/>
                <w:color w:val="122033"/>
                <w:sz w:val="19"/>
              </w:rPr>
              <w:t>65.3%</w:t>
            </w:r>
          </w:p>
        </w:tc>
      </w:tr>
      <w:tr>
        <w:trPr>
          <w:cantSplit/>
        </w:trPr>
        <w:tc>
          <w:tcPr>
            <w:tcW w:type="dxa" w:w="3000"/>
          </w:tcPr>
          <w:p>
            <w:pPr>
              <w:spacing w:after="0"/>
            </w:pPr>
            <w:r>
              <w:rPr>
                <w:rFonts w:ascii="Calibri" w:hAnsi="Calibri"/>
                <w:color w:val="122033"/>
                <w:sz w:val="19"/>
              </w:rPr>
              <w:t>Units</w:t>
            </w:r>
          </w:p>
        </w:tc>
        <w:tc>
          <w:tcPr>
            <w:tcW w:type="dxa" w:w="6360"/>
          </w:tcPr>
          <w:p>
            <w:pPr>
              <w:spacing w:after="0"/>
            </w:pPr>
            <w:r>
              <w:rPr>
                <w:rFonts w:ascii="Calibri" w:hAnsi="Calibri"/>
                <w:color w:val="122033"/>
                <w:sz w:val="19"/>
              </w:rPr>
              <w:t>296</w:t>
            </w:r>
          </w:p>
        </w:tc>
      </w:tr>
      <w:tr>
        <w:trPr>
          <w:cantSplit/>
        </w:trPr>
        <w:tc>
          <w:tcPr>
            <w:tcW w:type="dxa" w:w="3000"/>
          </w:tcPr>
          <w:p>
            <w:pPr>
              <w:spacing w:after="0"/>
            </w:pPr>
            <w:r>
              <w:rPr>
                <w:rFonts w:ascii="Calibri" w:hAnsi="Calibri"/>
                <w:color w:val="122033"/>
                <w:sz w:val="19"/>
              </w:rPr>
              <w:t>At-risk units</w:t>
            </w:r>
          </w:p>
        </w:tc>
        <w:tc>
          <w:tcPr>
            <w:tcW w:type="dxa" w:w="6360"/>
          </w:tcPr>
          <w:p>
            <w:pPr>
              <w:spacing w:after="0"/>
            </w:pPr>
            <w:r>
              <w:rPr>
                <w:rFonts w:ascii="Calibri" w:hAnsi="Calibri"/>
                <w:color w:val="122033"/>
                <w:sz w:val="19"/>
              </w:rPr>
              <w:t>128 (43.2%)</w:t>
            </w:r>
          </w:p>
        </w:tc>
      </w:tr>
      <w:tr>
        <w:trPr>
          <w:cantSplit/>
        </w:trPr>
        <w:tc>
          <w:tcPr>
            <w:tcW w:type="dxa" w:w="3000"/>
          </w:tcPr>
          <w:p>
            <w:pPr>
              <w:spacing w:after="0"/>
            </w:pPr>
            <w:r>
              <w:rPr>
                <w:rFonts w:ascii="Calibri" w:hAnsi="Calibri"/>
                <w:color w:val="122033"/>
                <w:sz w:val="19"/>
              </w:rPr>
              <w:t>Healthy units</w:t>
            </w:r>
          </w:p>
        </w:tc>
        <w:tc>
          <w:tcPr>
            <w:tcW w:type="dxa" w:w="6360"/>
          </w:tcPr>
          <w:p>
            <w:pPr>
              <w:spacing w:after="0"/>
            </w:pPr>
            <w:r>
              <w:rPr>
                <w:rFonts w:ascii="Calibri" w:hAnsi="Calibri"/>
                <w:color w:val="122033"/>
                <w:sz w:val="19"/>
              </w:rPr>
              <w:t>84 (28.4%)</w:t>
            </w:r>
          </w:p>
        </w:tc>
      </w:tr>
      <w:tr>
        <w:trPr>
          <w:cantSplit/>
        </w:trPr>
        <w:tc>
          <w:tcPr>
            <w:tcW w:type="dxa" w:w="3000"/>
          </w:tcPr>
          <w:p>
            <w:pPr>
              <w:spacing w:after="0"/>
            </w:pPr>
            <w:r>
              <w:rPr>
                <w:rFonts w:ascii="Calibri" w:hAnsi="Calibri"/>
                <w:color w:val="122033"/>
                <w:sz w:val="19"/>
              </w:rPr>
              <w:t>Commissioners</w:t>
            </w:r>
          </w:p>
        </w:tc>
        <w:tc>
          <w:tcPr>
            <w:tcW w:type="dxa" w:w="6360"/>
          </w:tcPr>
          <w:p>
            <w:pPr>
              <w:spacing w:after="0"/>
            </w:pPr>
            <w:r>
              <w:rPr>
                <w:rFonts w:ascii="Calibri" w:hAnsi="Calibri"/>
                <w:color w:val="122033"/>
                <w:sz w:val="19"/>
              </w:rPr>
              <w:t>100</w:t>
            </w:r>
          </w:p>
        </w:tc>
      </w:tr>
      <w:tr>
        <w:trPr>
          <w:cantSplit/>
        </w:trPr>
        <w:tc>
          <w:tcPr>
            <w:tcW w:type="dxa" w:w="3000"/>
          </w:tcPr>
          <w:p>
            <w:pPr>
              <w:spacing w:after="0"/>
            </w:pPr>
            <w:r>
              <w:rPr>
                <w:rFonts w:ascii="Calibri" w:hAnsi="Calibri"/>
                <w:color w:val="122033"/>
                <w:sz w:val="19"/>
              </w:rPr>
              <w:t>Unit commissioners</w:t>
            </w:r>
          </w:p>
        </w:tc>
        <w:tc>
          <w:tcPr>
            <w:tcW w:type="dxa" w:w="6360"/>
          </w:tcPr>
          <w:p>
            <w:pPr>
              <w:spacing w:after="0"/>
            </w:pPr>
            <w:r>
              <w:rPr>
                <w:rFonts w:ascii="Calibri" w:hAnsi="Calibri"/>
                <w:color w:val="122033"/>
                <w:sz w:val="19"/>
              </w:rPr>
              <w:t>70</w:t>
            </w:r>
          </w:p>
        </w:tc>
      </w:tr>
      <w:tr>
        <w:trPr>
          <w:cantSplit/>
        </w:trPr>
        <w:tc>
          <w:tcPr>
            <w:tcW w:type="dxa" w:w="3000"/>
          </w:tcPr>
          <w:p>
            <w:pPr>
              <w:spacing w:after="0"/>
            </w:pPr>
            <w:r>
              <w:rPr>
                <w:rFonts w:ascii="Calibri" w:hAnsi="Calibri"/>
                <w:color w:val="122033"/>
                <w:sz w:val="19"/>
              </w:rPr>
              <w:t>Service Areas</w:t>
            </w:r>
          </w:p>
        </w:tc>
        <w:tc>
          <w:tcPr>
            <w:tcW w:type="dxa" w:w="6360"/>
          </w:tcPr>
          <w:p>
            <w:pPr>
              <w:spacing w:after="0"/>
            </w:pPr>
            <w:r>
              <w:rPr>
                <w:rFonts w:ascii="Calibri" w:hAnsi="Calibri"/>
                <w:color w:val="122033"/>
                <w:sz w:val="19"/>
              </w:rPr>
              <w:t>3</w:t>
            </w:r>
          </w:p>
        </w:tc>
      </w:tr>
      <w:tr>
        <w:trPr>
          <w:cantSplit/>
        </w:trPr>
        <w:tc>
          <w:tcPr>
            <w:tcW w:type="dxa" w:w="3000"/>
          </w:tcPr>
          <w:p>
            <w:pPr>
              <w:spacing w:after="0"/>
            </w:pPr>
            <w:r>
              <w:rPr>
                <w:rFonts w:ascii="Calibri" w:hAnsi="Calibri"/>
                <w:color w:val="122033"/>
                <w:sz w:val="19"/>
              </w:rPr>
              <w:t>Training rows</w:t>
            </w:r>
          </w:p>
        </w:tc>
        <w:tc>
          <w:tcPr>
            <w:tcW w:type="dxa" w:w="6360"/>
          </w:tcPr>
          <w:p>
            <w:pPr>
              <w:spacing w:after="0"/>
            </w:pPr>
            <w:r>
              <w:rPr>
                <w:rFonts w:ascii="Calibri" w:hAnsi="Calibri"/>
                <w:color w:val="122033"/>
                <w:sz w:val="19"/>
              </w:rPr>
              <w:t>5,672</w:t>
            </w:r>
          </w:p>
        </w:tc>
      </w:tr>
      <w:tr>
        <w:trPr>
          <w:cantSplit/>
        </w:trPr>
        <w:tc>
          <w:tcPr>
            <w:tcW w:type="dxa" w:w="3000"/>
          </w:tcPr>
          <w:p>
            <w:pPr>
              <w:spacing w:after="0"/>
            </w:pPr>
            <w:r>
              <w:rPr>
                <w:rFonts w:ascii="Calibri" w:hAnsi="Calibri"/>
                <w:color w:val="122033"/>
                <w:sz w:val="19"/>
              </w:rPr>
              <w:t>Hot prospects</w:t>
            </w:r>
          </w:p>
        </w:tc>
        <w:tc>
          <w:tcPr>
            <w:tcW w:type="dxa" w:w="6360"/>
          </w:tcPr>
          <w:p>
            <w:pPr>
              <w:spacing w:after="0"/>
            </w:pPr>
            <w:r>
              <w:rPr>
                <w:rFonts w:ascii="Calibri" w:hAnsi="Calibri"/>
                <w:color w:val="122033"/>
                <w:sz w:val="19"/>
              </w:rPr>
              <w:t>208</w:t>
            </w:r>
          </w:p>
        </w:tc>
      </w:tr>
      <w:tr>
        <w:trPr>
          <w:cantSplit/>
        </w:trPr>
        <w:tc>
          <w:tcPr>
            <w:tcW w:type="dxa" w:w="3000"/>
          </w:tcPr>
          <w:p>
            <w:pPr>
              <w:spacing w:after="0"/>
            </w:pPr>
            <w:r>
              <w:rPr>
                <w:rFonts w:ascii="Calibri" w:hAnsi="Calibri"/>
                <w:color w:val="122033"/>
                <w:sz w:val="19"/>
              </w:rPr>
              <w:t>Renewal rows</w:t>
            </w:r>
          </w:p>
        </w:tc>
        <w:tc>
          <w:tcPr>
            <w:tcW w:type="dxa" w:w="6360"/>
          </w:tcPr>
          <w:p>
            <w:pPr>
              <w:spacing w:after="0"/>
            </w:pPr>
            <w:r>
              <w:rPr>
                <w:rFonts w:ascii="Calibri" w:hAnsi="Calibri"/>
                <w:color w:val="122033"/>
                <w:sz w:val="19"/>
              </w:rPr>
              <w:t>311</w:t>
            </w:r>
          </w:p>
        </w:tc>
      </w:tr>
      <w:tr>
        <w:trPr>
          <w:cantSplit/>
        </w:trPr>
        <w:tc>
          <w:tcPr>
            <w:tcW w:type="dxa" w:w="3000"/>
          </w:tcPr>
          <w:p>
            <w:pPr>
              <w:spacing w:after="0"/>
            </w:pPr>
            <w:r>
              <w:rPr>
                <w:rFonts w:ascii="Calibri" w:hAnsi="Calibri"/>
                <w:color w:val="122033"/>
                <w:sz w:val="19"/>
              </w:rPr>
              <w:t>School rows</w:t>
            </w:r>
          </w:p>
        </w:tc>
        <w:tc>
          <w:tcPr>
            <w:tcW w:type="dxa" w:w="6360"/>
          </w:tcPr>
          <w:p>
            <w:pPr>
              <w:spacing w:after="0"/>
            </w:pPr>
            <w:r>
              <w:rPr>
                <w:rFonts w:ascii="Calibri" w:hAnsi="Calibri"/>
                <w:color w:val="122033"/>
                <w:sz w:val="19"/>
              </w:rPr>
              <w:t>738</w:t>
            </w:r>
          </w:p>
        </w:tc>
      </w:tr>
      <w:tr>
        <w:trPr>
          <w:cantSplit/>
        </w:trPr>
        <w:tc>
          <w:tcPr>
            <w:tcW w:type="dxa" w:w="3000"/>
          </w:tcPr>
          <w:p>
            <w:pPr>
              <w:spacing w:after="0"/>
            </w:pPr>
            <w:r>
              <w:rPr>
                <w:rFonts w:ascii="Calibri" w:hAnsi="Calibri"/>
                <w:color w:val="122033"/>
                <w:sz w:val="19"/>
              </w:rPr>
              <w:t>Popcorn units</w:t>
            </w:r>
          </w:p>
        </w:tc>
        <w:tc>
          <w:tcPr>
            <w:tcW w:type="dxa" w:w="6360"/>
          </w:tcPr>
          <w:p>
            <w:pPr>
              <w:spacing w:after="0"/>
            </w:pPr>
            <w:r>
              <w:rPr>
                <w:rFonts w:ascii="Calibri" w:hAnsi="Calibri"/>
                <w:color w:val="122033"/>
                <w:sz w:val="19"/>
              </w:rPr>
              <w:t>281</w:t>
            </w:r>
          </w:p>
        </w:tc>
      </w:tr>
      <w:tr>
        <w:trPr>
          <w:cantSplit/>
        </w:trPr>
        <w:tc>
          <w:tcPr>
            <w:tcW w:type="dxa" w:w="3000"/>
          </w:tcPr>
          <w:p>
            <w:pPr>
              <w:spacing w:after="0"/>
            </w:pPr>
            <w:r>
              <w:rPr>
                <w:rFonts w:ascii="Calibri" w:hAnsi="Calibri"/>
                <w:color w:val="122033"/>
                <w:sz w:val="19"/>
              </w:rPr>
              <w:t>Popcorn committed</w:t>
            </w:r>
          </w:p>
        </w:tc>
        <w:tc>
          <w:tcPr>
            <w:tcW w:type="dxa" w:w="6360"/>
          </w:tcPr>
          <w:p>
            <w:pPr>
              <w:spacing w:after="0"/>
            </w:pPr>
            <w:r>
              <w:rPr>
                <w:rFonts w:ascii="Calibri" w:hAnsi="Calibri"/>
                <w:color w:val="122033"/>
                <w:sz w:val="19"/>
              </w:rPr>
              <w:t>92 (32.7%)</w:t>
            </w:r>
          </w:p>
        </w:tc>
      </w:tr>
    </w:tbl>
    <w:p>
      <w:pPr>
        <w:spacing w:after="80"/>
      </w:pPr>
    </w:p>
    <w:p>
      <w:pPr>
        <w:pStyle w:val="Heading1"/>
      </w:pPr>
      <w:r>
        <w:t>2. Where The Data Comes From</w:t>
      </w:r>
    </w:p>
    <w:p>
      <w:pPr>
        <w:pStyle w:val="BodyText"/>
      </w:pPr>
      <w:r>
        <w:t>The dashboard has six main source lanes.</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200"/>
        <w:gridCol w:w="5000"/>
        <w:gridCol w:w="2160"/>
      </w:tblGrid>
      <w:tr>
        <w:trPr>
          <w:cantSplit/>
          <w:tblHeader w:val="true"/>
        </w:trPr>
        <w:tc>
          <w:tcPr>
            <w:tcW w:type="dxa" w:w="2200"/>
            <w:tcMar>
              <w:top w:w="80" w:type="dxa"/>
              <w:start w:w="120" w:type="dxa"/>
              <w:bottom w:w="80" w:type="dxa"/>
              <w:end w:w="120" w:type="dxa"/>
            </w:tcMar>
            <w:vAlign w:val="center"/>
            <w:shd w:fill="E8EEF5"/>
          </w:tcPr>
          <w:p>
            <w:pPr>
              <w:spacing w:after="0"/>
            </w:pPr>
            <w:r>
              <w:rPr>
                <w:rFonts w:ascii="Calibri" w:hAnsi="Calibri"/>
                <w:b/>
                <w:color w:val="122033"/>
                <w:sz w:val="19"/>
              </w:rPr>
              <w:t>Source lane</w:t>
            </w:r>
          </w:p>
        </w:tc>
        <w:tc>
          <w:tcPr>
            <w:tcW w:type="dxa" w:w="5000"/>
            <w:tcMar>
              <w:top w:w="80" w:type="dxa"/>
              <w:start w:w="120" w:type="dxa"/>
              <w:bottom w:w="80" w:type="dxa"/>
              <w:end w:w="120" w:type="dxa"/>
            </w:tcMar>
            <w:vAlign w:val="center"/>
            <w:shd w:fill="E8EEF5"/>
          </w:tcPr>
          <w:p>
            <w:pPr>
              <w:spacing w:after="0"/>
            </w:pPr>
            <w:r>
              <w:rPr>
                <w:rFonts w:ascii="Calibri" w:hAnsi="Calibri"/>
                <w:b/>
                <w:color w:val="122033"/>
                <w:sz w:val="19"/>
              </w:rPr>
              <w:t>Used for</w:t>
            </w:r>
          </w:p>
        </w:tc>
        <w:tc>
          <w:tcPr>
            <w:tcW w:type="dxa" w:w="2160"/>
            <w:tcMar>
              <w:top w:w="80" w:type="dxa"/>
              <w:start w:w="120" w:type="dxa"/>
              <w:bottom w:w="80" w:type="dxa"/>
              <w:end w:w="120" w:type="dxa"/>
            </w:tcMar>
            <w:vAlign w:val="center"/>
            <w:shd w:fill="E8EEF5"/>
          </w:tcPr>
          <w:p>
            <w:pPr>
              <w:spacing w:after="0"/>
            </w:pPr>
            <w:r>
              <w:rPr>
                <w:rFonts w:ascii="Calibri" w:hAnsi="Calibri"/>
                <w:b/>
                <w:color w:val="122033"/>
                <w:sz w:val="19"/>
              </w:rPr>
              <w:t>Published as</w:t>
            </w:r>
          </w:p>
        </w:tc>
      </w:tr>
      <w:tr>
        <w:trPr>
          <w:cantSplit/>
        </w:trPr>
        <w:tc>
          <w:tcPr>
            <w:tcW w:type="dxa" w:w="2200"/>
          </w:tcPr>
          <w:p>
            <w:pPr>
              <w:spacing w:after="0"/>
            </w:pPr>
            <w:r>
              <w:rPr>
                <w:rFonts w:ascii="Calibri" w:hAnsi="Calibri"/>
                <w:color w:val="122033"/>
                <w:sz w:val="19"/>
              </w:rPr>
              <w:t>Council dashboard workbook</w:t>
            </w:r>
          </w:p>
        </w:tc>
        <w:tc>
          <w:tcPr>
            <w:tcW w:type="dxa" w:w="5000"/>
          </w:tcPr>
          <w:p>
            <w:pPr>
              <w:spacing w:after="0"/>
            </w:pPr>
            <w:r>
              <w:rPr>
                <w:rFonts w:ascii="Calibri" w:hAnsi="Calibri"/>
                <w:color w:val="122033"/>
                <w:sz w:val="19"/>
              </w:rPr>
              <w:t>Membership, unit health, district training rates, commissioner objectives, person-level training, and commissioner roster.</w:t>
            </w:r>
          </w:p>
        </w:tc>
        <w:tc>
          <w:tcPr>
            <w:tcW w:type="dxa" w:w="2160"/>
          </w:tcPr>
          <w:p>
            <w:pPr>
              <w:spacing w:after="0"/>
            </w:pPr>
            <w:r>
              <w:rPr>
                <w:rFonts w:ascii="Calibri" w:hAnsi="Calibri"/>
                <w:color w:val="122033"/>
                <w:sz w:val="19"/>
              </w:rPr>
              <w:t>`data/latest.json`</w:t>
            </w:r>
          </w:p>
        </w:tc>
      </w:tr>
      <w:tr>
        <w:trPr>
          <w:cantSplit/>
        </w:trPr>
        <w:tc>
          <w:tcPr>
            <w:tcW w:type="dxa" w:w="2200"/>
          </w:tcPr>
          <w:p>
            <w:pPr>
              <w:spacing w:after="0"/>
            </w:pPr>
            <w:r>
              <w:rPr>
                <w:rFonts w:ascii="Calibri" w:hAnsi="Calibri"/>
                <w:color w:val="122033"/>
                <w:sz w:val="19"/>
              </w:rPr>
              <w:t>CST comparison workbook</w:t>
            </w:r>
          </w:p>
        </w:tc>
        <w:tc>
          <w:tcPr>
            <w:tcW w:type="dxa" w:w="5000"/>
          </w:tcPr>
          <w:p>
            <w:pPr>
              <w:spacing w:after="0"/>
            </w:pPr>
            <w:r>
              <w:rPr>
                <w:rFonts w:ascii="Calibri" w:hAnsi="Calibri"/>
                <w:color w:val="122033"/>
                <w:sz w:val="19"/>
              </w:rPr>
              <w:t>Service Territory comparison metrics and Capitol Area Council comparison fields.</w:t>
            </w:r>
          </w:p>
        </w:tc>
        <w:tc>
          <w:tcPr>
            <w:tcW w:type="dxa" w:w="2160"/>
          </w:tcPr>
          <w:p>
            <w:pPr>
              <w:spacing w:after="0"/>
            </w:pPr>
            <w:r>
              <w:rPr>
                <w:rFonts w:ascii="Calibri" w:hAnsi="Calibri"/>
                <w:color w:val="122033"/>
                <w:sz w:val="19"/>
              </w:rPr>
              <w:t>`data/latest.json`</w:t>
            </w:r>
          </w:p>
        </w:tc>
      </w:tr>
      <w:tr>
        <w:trPr>
          <w:cantSplit/>
        </w:trPr>
        <w:tc>
          <w:tcPr>
            <w:tcW w:type="dxa" w:w="2200"/>
          </w:tcPr>
          <w:p>
            <w:pPr>
              <w:spacing w:after="0"/>
            </w:pPr>
            <w:r>
              <w:rPr>
                <w:rFonts w:ascii="Calibri" w:hAnsi="Calibri"/>
                <w:color w:val="122033"/>
                <w:sz w:val="19"/>
              </w:rPr>
              <w:t>monday.com daily workbook</w:t>
            </w:r>
          </w:p>
        </w:tc>
        <w:tc>
          <w:tcPr>
            <w:tcW w:type="dxa" w:w="5000"/>
          </w:tcPr>
          <w:p>
            <w:pPr>
              <w:spacing w:after="0"/>
            </w:pPr>
            <w:r>
              <w:rPr>
                <w:rFonts w:ascii="Calibri" w:hAnsi="Calibri"/>
                <w:color w:val="122033"/>
                <w:sz w:val="19"/>
              </w:rPr>
              <w:t>Hot prospects, 2026 renewal status, schools, Total Available Youth, and Popcorn commitments/readiness.</w:t>
            </w:r>
          </w:p>
        </w:tc>
        <w:tc>
          <w:tcPr>
            <w:tcW w:type="dxa" w:w="2160"/>
          </w:tcPr>
          <w:p>
            <w:pPr>
              <w:spacing w:after="0"/>
            </w:pPr>
            <w:r>
              <w:rPr>
                <w:rFonts w:ascii="Calibri" w:hAnsi="Calibri"/>
                <w:color w:val="122033"/>
                <w:sz w:val="19"/>
              </w:rPr>
              <w:t>`data/monday-latest.json`</w:t>
            </w:r>
          </w:p>
        </w:tc>
      </w:tr>
      <w:tr>
        <w:trPr>
          <w:cantSplit/>
        </w:trPr>
        <w:tc>
          <w:tcPr>
            <w:tcW w:type="dxa" w:w="2200"/>
          </w:tcPr>
          <w:p>
            <w:pPr>
              <w:spacing w:after="0"/>
            </w:pPr>
            <w:r>
              <w:rPr>
                <w:rFonts w:ascii="Calibri" w:hAnsi="Calibri"/>
                <w:color w:val="122033"/>
                <w:sz w:val="19"/>
              </w:rPr>
              <w:t>Unit Level Metrics workbook</w:t>
            </w:r>
          </w:p>
        </w:tc>
        <w:tc>
          <w:tcPr>
            <w:tcW w:type="dxa" w:w="5000"/>
          </w:tcPr>
          <w:p>
            <w:pPr>
              <w:spacing w:after="0"/>
            </w:pPr>
            <w:r>
              <w:rPr>
                <w:rFonts w:ascii="Calibri" w:hAnsi="Calibri"/>
                <w:color w:val="122033"/>
                <w:sz w:val="19"/>
              </w:rPr>
              <w:t>Unit-level youth, health, growth, training, SYT, and commissioner-assignment detail by program.</w:t>
            </w:r>
          </w:p>
        </w:tc>
        <w:tc>
          <w:tcPr>
            <w:tcW w:type="dxa" w:w="2160"/>
          </w:tcPr>
          <w:p>
            <w:pPr>
              <w:spacing w:after="0"/>
            </w:pPr>
            <w:r>
              <w:rPr>
                <w:rFonts w:ascii="Calibri" w:hAnsi="Calibri"/>
                <w:color w:val="122033"/>
                <w:sz w:val="19"/>
              </w:rPr>
              <w:t>`data/unit-level-latest.*`</w:t>
            </w:r>
          </w:p>
        </w:tc>
      </w:tr>
      <w:tr>
        <w:trPr>
          <w:cantSplit/>
        </w:trPr>
        <w:tc>
          <w:tcPr>
            <w:tcW w:type="dxa" w:w="2200"/>
          </w:tcPr>
          <w:p>
            <w:pPr>
              <w:spacing w:after="0"/>
            </w:pPr>
            <w:r>
              <w:rPr>
                <w:rFonts w:ascii="Calibri" w:hAnsi="Calibri"/>
                <w:color w:val="122033"/>
                <w:sz w:val="19"/>
              </w:rPr>
              <w:t>Cub Scout JSN board</w:t>
            </w:r>
          </w:p>
        </w:tc>
        <w:tc>
          <w:tcPr>
            <w:tcW w:type="dxa" w:w="5000"/>
          </w:tcPr>
          <w:p>
            <w:pPr>
              <w:spacing w:after="0"/>
            </w:pPr>
            <w:r>
              <w:rPr>
                <w:rFonts w:ascii="Calibri" w:hAnsi="Calibri"/>
                <w:color w:val="122033"/>
                <w:sz w:val="19"/>
              </w:rPr>
              <w:t>School recruiting plans, scheduled recruitments, location and date patterns, and recruiting-material totals.</w:t>
            </w:r>
          </w:p>
        </w:tc>
        <w:tc>
          <w:tcPr>
            <w:tcW w:type="dxa" w:w="2160"/>
          </w:tcPr>
          <w:p>
            <w:pPr>
              <w:spacing w:after="0"/>
            </w:pPr>
            <w:r>
              <w:rPr>
                <w:rFonts w:ascii="Calibri" w:hAnsi="Calibri"/>
                <w:color w:val="122033"/>
                <w:sz w:val="19"/>
              </w:rPr>
              <w:t>`data/fall-recruitment-latest.js`</w:t>
            </w:r>
          </w:p>
        </w:tc>
      </w:tr>
      <w:tr>
        <w:trPr>
          <w:cantSplit/>
        </w:trPr>
        <w:tc>
          <w:tcPr>
            <w:tcW w:type="dxa" w:w="2200"/>
          </w:tcPr>
          <w:p>
            <w:pPr>
              <w:spacing w:after="0"/>
            </w:pPr>
            <w:r>
              <w:rPr>
                <w:rFonts w:ascii="Calibri" w:hAnsi="Calibri"/>
                <w:color w:val="122033"/>
                <w:sz w:val="19"/>
              </w:rPr>
              <w:t>Service Areas board</w:t>
            </w:r>
          </w:p>
        </w:tc>
        <w:tc>
          <w:tcPr>
            <w:tcW w:type="dxa" w:w="5000"/>
          </w:tcPr>
          <w:p>
            <w:pPr>
              <w:spacing w:after="0"/>
            </w:pPr>
            <w:r>
              <w:rPr>
                <w:rFonts w:ascii="Calibri" w:hAnsi="Calibri"/>
                <w:color w:val="122033"/>
                <w:sz w:val="19"/>
              </w:rPr>
              <w:t>Authoritative Service Area hierarchy, Field Directors, district professionals, Volunteer Chairs, and District Commissioners.</w:t>
            </w:r>
          </w:p>
        </w:tc>
        <w:tc>
          <w:tcPr>
            <w:tcW w:type="dxa" w:w="2160"/>
          </w:tcPr>
          <w:p>
            <w:pPr>
              <w:spacing w:after="0"/>
            </w:pPr>
            <w:r>
              <w:rPr>
                <w:rFonts w:ascii="Calibri" w:hAnsi="Calibri"/>
                <w:color w:val="122033"/>
                <w:sz w:val="19"/>
              </w:rPr>
              <w:t>`data/latest.json`</w:t>
            </w:r>
          </w:p>
        </w:tc>
      </w:tr>
    </w:tbl>
    <w:p>
      <w:pPr>
        <w:spacing w:after="80"/>
      </w:pPr>
    </w:p>
    <w:p>
      <w:pPr>
        <w:pStyle w:val="BodyText"/>
      </w:pPr>
      <w:r>
        <w:t>The monday.com daily workbook is preferred because it contains richer detail rows. If that workbook is not available, the automation can fall back to the monday.com API, but the API fallback is less detailed than the workbook export. The Council Dashboard Reports drive also contains Unit Level Metrics captures; those are used only for Unit Level detail and must not be selected as the main Dashboard - CAC workbook.</w:t>
      </w: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Public person-name privacy</w:t>
            </w:r>
          </w:p>
          <w:p>
            <w:pPr>
              <w:spacing w:after="0"/>
            </w:pPr>
            <w:r>
              <w:rPr>
                <w:rFonts w:ascii="Calibri" w:hAnsi="Calibri"/>
                <w:color w:val="122033"/>
                <w:sz w:val="21"/>
              </w:rPr>
              <w:t>Every person-name field published on the public Council Summary and Commissioner sites is reduced to first name plus last initial, such as Alex R. This applies to training and SYT rows, Unit Key 3 holders, commissioner rosters and assignments, Service Area and district leadership, Unit-Level members and commissioners, and Renewal owners, leaders, contacts, and commissioners. Private source workbooks and intermediate working files are unchanged.</w:t>
            </w:r>
          </w:p>
        </w:tc>
      </w:tr>
    </w:tbl>
    <w:p>
      <w:pPr>
        <w:spacing w:after="40"/>
      </w:pPr>
    </w:p>
    <w:p>
      <w:pPr>
        <w:pStyle w:val="Heading1"/>
      </w:pPr>
      <w:r>
        <w:t>3. How The Daily Refresh Works</w:t>
      </w:r>
    </w:p>
    <w:p>
      <w:pPr>
        <w:pStyle w:val="BodyText"/>
      </w:pPr>
      <w:r>
        <w:t>The consolidated CAC Dashboard Platform is the sole production writer. One scheduled macOS LaunchAgent runs the platform orchestrator, which refreshes source data and publishes the Council Summary and Commissioner sites from their active working copies. The Commissioner Dashboard remains a separate portal that reads the same canonical Council Summary data.</w:t>
      </w:r>
    </w:p>
    <w:p>
      <w:pPr>
        <w:pStyle w:val="ListNumber"/>
      </w:pPr>
      <w:r>
        <w:t>Capture the current monday.com Service Areas hierarchy and district leadership fields for this run.</w:t>
      </w:r>
    </w:p>
    <w:p>
      <w:pPr>
        <w:pStyle w:val="ListNumber"/>
      </w:pPr>
      <w:r>
        <w:t>Find the newest `*_Dashboard - CAC.xlsx` Council dashboard workbook in the Council Dashboard Reports shared drive.</w:t>
      </w:r>
    </w:p>
    <w:p>
      <w:pPr>
        <w:pStyle w:val="ListNumber"/>
      </w:pPr>
      <w:r>
        <w:t>Ignore `*_CAC - Unit Metric Scorecard.xlsx` for the CAC dashboard source selection, even if that Unit Level Metrics workbook is the newest workbook in the same shared drive.</w:t>
      </w:r>
    </w:p>
    <w:p>
      <w:pPr>
        <w:pStyle w:val="ListNumber"/>
      </w:pPr>
      <w:r>
        <w:t>Find the newest CST7 workbook in the Council Metric Reports shared drive.</w:t>
      </w:r>
    </w:p>
    <w:p>
      <w:pPr>
        <w:pStyle w:val="ListNumber"/>
      </w:pPr>
      <w:r>
        <w:t>Build `data/latest.json`, including Service Area rollups and a dated working archive outside the Pages source tree.</w:t>
      </w:r>
    </w:p>
    <w:p>
      <w:pPr>
        <w:pStyle w:val="ListNumber"/>
      </w:pPr>
      <w:r>
        <w:t>Find the newest monday.com export workbook in the Council monday.com Reports shared drive.</w:t>
      </w:r>
    </w:p>
    <w:p>
      <w:pPr>
        <w:pStyle w:val="ListNumber"/>
      </w:pPr>
      <w:r>
        <w:t>Build `data/monday-latest.json`, falling back to the monday.com API only if needed.</w:t>
      </w:r>
    </w:p>
    <w:p>
      <w:pPr>
        <w:pStyle w:val="ListNumber"/>
      </w:pPr>
      <w:r>
        <w:t>Rebuild Unit-Level Detail, Renewal Status, Units-Youth history, and the Cub Scout JSN data bundle.</w:t>
      </w:r>
    </w:p>
    <w:p>
      <w:pPr>
        <w:pStyle w:val="ListNumber"/>
      </w:pPr>
      <w:r>
        <w:t>Abbreviate every covered public person-name field to first name plus last initial and stop the deployment if a covered full name remains.</w:t>
      </w:r>
    </w:p>
    <w:p>
      <w:pPr>
        <w:pStyle w:val="ListNumber"/>
      </w:pPr>
      <w:r>
        <w:t>Run the site-structure validator and stage the complete static site in an isolated Pages tree.</w:t>
      </w:r>
    </w:p>
    <w:p>
      <w:pPr>
        <w:pStyle w:val="ListNumber"/>
      </w:pPr>
      <w:r>
        <w:t>Deploy the Council Summary site tree as a checksum-verified GitHub Pages artifact without committing generated data.</w:t>
      </w:r>
    </w:p>
    <w:p>
      <w:pPr>
        <w:pStyle w:val="ListNumber"/>
      </w:pPr>
      <w:r>
        <w:t>Deploy the Commissioner Dashboard as a verified Pages artifact only when its static payload changed.</w:t>
      </w:r>
    </w:p>
    <w:p>
      <w:pPr>
        <w:pStyle w:val="ListNumber"/>
      </w:pPr>
      <w:r>
        <w:t>Verify the GitHub Pages deployment and report the refresh result.</w:t>
      </w: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What changes daily</w:t>
            </w:r>
          </w:p>
          <w:p>
            <w:pPr>
              <w:spacing w:after="0"/>
            </w:pPr>
            <w:r>
              <w:rPr>
                <w:rFonts w:ascii="Calibri" w:hAnsi="Calibri"/>
                <w:color w:val="122033"/>
                <w:sz w:val="21"/>
              </w:rPr>
              <w:t>The daily automation updates data files. It does not rewrite dashboard code or formulas. A formula or page layout changes only when the website code is edited and committed.</w:t>
            </w:r>
          </w:p>
        </w:tc>
      </w:tr>
    </w:tbl>
    <w:p>
      <w:pPr>
        <w:spacing w:after="4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Single-writer publishing</w:t>
            </w:r>
          </w:p>
          <w:p>
            <w:pPr>
              <w:spacing w:after="0"/>
            </w:pPr>
            <w:r>
              <w:rPr>
                <w:rFonts w:ascii="Calibri" w:hAnsi="Calibri"/>
                <w:color w:val="122033"/>
                <w:sz w:val="21"/>
              </w:rPr>
              <w:t>The consolidated CAC Dashboard Platform is the only production deployer. Source changes use ordinary linear commits; daily generated data uses verified Pages artifacts without force pushes.</w:t>
            </w:r>
          </w:p>
        </w:tc>
      </w:tr>
    </w:tbl>
    <w:p>
      <w:pPr>
        <w:spacing w:after="4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How freshness times display</w:t>
            </w:r>
          </w:p>
          <w:p>
            <w:pPr>
              <w:spacing w:after="0"/>
            </w:pPr>
            <w:r>
              <w:rPr>
                <w:rFonts w:ascii="Calibri" w:hAnsi="Calibri"/>
                <w:color w:val="122033"/>
                <w:sz w:val="21"/>
              </w:rPr>
              <w:t>The lower-left dashboard timestamp is shown in the viewer's local timezone. Council dashboard timestamps that do not include a timezone are interpreted as America/Chicago source time first; monday.com timestamps that include UTC or another offset are treated as exact instants and then displayed locally for the viewer.</w:t>
            </w:r>
          </w:p>
        </w:tc>
      </w:tr>
    </w:tbl>
    <w:p>
      <w:pPr>
        <w:spacing w:after="4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Automation paths</w:t>
            </w:r>
          </w:p>
          <w:p>
            <w:pPr>
              <w:spacing w:after="0"/>
            </w:pPr>
            <w:r>
              <w:rPr>
                <w:rFonts w:ascii="Calibri" w:hAnsi="Calibri"/>
                <w:color w:val="122033"/>
                <w:sz w:val="21"/>
              </w:rPr>
              <w:t>The active platform root is /Users/petersargent/CACDashboardPlatform. The sole LaunchAgent is /Users/petersargent/Library/LaunchAgents/com.cac.dashboard.macpro-daily.plist. The platform orchestrator is tools/daily_build_publish.zsh; the Council Summary updater is sites/council-dashboard-summary/update_daily.zsh.</w:t>
            </w:r>
          </w:p>
        </w:tc>
      </w:tr>
    </w:tbl>
    <w:p>
      <w:pPr>
        <w:spacing w:after="40"/>
      </w:pPr>
    </w:p>
    <w:p>
      <w:pPr>
        <w:pStyle w:val="Heading1"/>
      </w:pPr>
      <w:r>
        <w:t>4. Build And Data Acquisition Requirements</w:t>
      </w:r>
    </w:p>
    <w:p>
      <w:pPr>
        <w:pStyle w:val="BodyText"/>
      </w:pPr>
      <w:r>
        <w:t>A technical maintainer can rebuild a similar dashboard if they have the source workbooks, monday.com read access, a Python environment with the workbook/document libraries, a GitHub Pages repository, and an automation path that can build and deploy a verified static payload.</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400"/>
        <w:gridCol w:w="6960"/>
      </w:tblGrid>
      <w:tr>
        <w:trPr>
          <w:cantSplit/>
          <w:tblHeader w:val="true"/>
        </w:trPr>
        <w:tc>
          <w:tcPr>
            <w:tcW w:type="dxa" w:w="2400"/>
            <w:tcMar>
              <w:top w:w="80" w:type="dxa"/>
              <w:start w:w="120" w:type="dxa"/>
              <w:bottom w:w="80" w:type="dxa"/>
              <w:end w:w="120" w:type="dxa"/>
            </w:tcMar>
            <w:vAlign w:val="center"/>
            <w:shd w:fill="E8EEF5"/>
          </w:tcPr>
          <w:p>
            <w:pPr>
              <w:spacing w:after="0"/>
            </w:pPr>
            <w:r>
              <w:rPr>
                <w:rFonts w:ascii="Calibri" w:hAnsi="Calibri"/>
                <w:b/>
                <w:color w:val="122033"/>
                <w:sz w:val="19"/>
              </w:rPr>
              <w:t>Requirement</w:t>
            </w:r>
          </w:p>
        </w:tc>
        <w:tc>
          <w:tcPr>
            <w:tcW w:type="dxa" w:w="6960"/>
            <w:tcMar>
              <w:top w:w="80" w:type="dxa"/>
              <w:start w:w="120" w:type="dxa"/>
              <w:bottom w:w="80" w:type="dxa"/>
              <w:end w:w="120" w:type="dxa"/>
            </w:tcMar>
            <w:vAlign w:val="center"/>
            <w:shd w:fill="E8EEF5"/>
          </w:tcPr>
          <w:p>
            <w:pPr>
              <w:spacing w:after="0"/>
            </w:pPr>
            <w:r>
              <w:rPr>
                <w:rFonts w:ascii="Calibri" w:hAnsi="Calibri"/>
                <w:b/>
                <w:color w:val="122033"/>
                <w:sz w:val="19"/>
              </w:rPr>
              <w:t>What must be available</w:t>
            </w:r>
          </w:p>
        </w:tc>
      </w:tr>
      <w:tr>
        <w:trPr>
          <w:cantSplit/>
        </w:trPr>
        <w:tc>
          <w:tcPr>
            <w:tcW w:type="dxa" w:w="2400"/>
          </w:tcPr>
          <w:p>
            <w:pPr>
              <w:spacing w:after="0"/>
            </w:pPr>
            <w:r>
              <w:rPr>
                <w:rFonts w:ascii="Calibri" w:hAnsi="Calibri"/>
                <w:color w:val="122033"/>
                <w:sz w:val="19"/>
              </w:rPr>
              <w:t>Runtime</w:t>
            </w:r>
          </w:p>
        </w:tc>
        <w:tc>
          <w:tcPr>
            <w:tcW w:type="dxa" w:w="6960"/>
          </w:tcPr>
          <w:p>
            <w:pPr>
              <w:spacing w:after="0"/>
            </w:pPr>
            <w:r>
              <w:rPr>
                <w:rFonts w:ascii="Calibri" w:hAnsi="Calibri"/>
                <w:color w:val="122033"/>
                <w:sz w:val="19"/>
              </w:rPr>
              <w:t>Python with openpyxl for Excel parsing and python-docx for guide generation.</w:t>
            </w:r>
          </w:p>
        </w:tc>
      </w:tr>
      <w:tr>
        <w:trPr>
          <w:cantSplit/>
        </w:trPr>
        <w:tc>
          <w:tcPr>
            <w:tcW w:type="dxa" w:w="2400"/>
          </w:tcPr>
          <w:p>
            <w:pPr>
              <w:spacing w:after="0"/>
            </w:pPr>
            <w:r>
              <w:rPr>
                <w:rFonts w:ascii="Calibri" w:hAnsi="Calibri"/>
                <w:color w:val="122033"/>
                <w:sz w:val="19"/>
              </w:rPr>
              <w:t>Google Drive access</w:t>
            </w:r>
          </w:p>
        </w:tc>
        <w:tc>
          <w:tcPr>
            <w:tcW w:type="dxa" w:w="6960"/>
          </w:tcPr>
          <w:p>
            <w:pPr>
              <w:spacing w:after="0"/>
            </w:pPr>
            <w:r>
              <w:rPr>
                <w:rFonts w:ascii="Calibri" w:hAnsi="Calibri"/>
                <w:color w:val="122033"/>
                <w:sz w:val="19"/>
              </w:rPr>
              <w:t>Shared drives named Council Dashboard Reports, Council Metric Reports, and Council monday.com Reports. Council Dashboard Reports contains both the Dashboard - CAC workbook and the Unit Level Metrics workbook.</w:t>
            </w:r>
          </w:p>
        </w:tc>
      </w:tr>
      <w:tr>
        <w:trPr>
          <w:cantSplit/>
        </w:trPr>
        <w:tc>
          <w:tcPr>
            <w:tcW w:type="dxa" w:w="2400"/>
          </w:tcPr>
          <w:p>
            <w:pPr>
              <w:spacing w:after="0"/>
            </w:pPr>
            <w:r>
              <w:rPr>
                <w:rFonts w:ascii="Calibri" w:hAnsi="Calibri"/>
                <w:color w:val="122033"/>
                <w:sz w:val="19"/>
              </w:rPr>
              <w:t>Workbook patterns</w:t>
            </w:r>
          </w:p>
        </w:tc>
        <w:tc>
          <w:tcPr>
            <w:tcW w:type="dxa" w:w="6960"/>
          </w:tcPr>
          <w:p>
            <w:pPr>
              <w:spacing w:after="0"/>
            </w:pPr>
            <w:r>
              <w:rPr>
                <w:rFonts w:ascii="Calibri" w:hAnsi="Calibri"/>
                <w:color w:val="122033"/>
                <w:sz w:val="19"/>
              </w:rPr>
              <w:t>Use `*_Dashboard - CAC.xlsx` only for the council dashboard source, `*_CAC - Unit Metric Scorecard.xlsx` only for Unit Level detail, `*_CST7.xlsx` for CST metrics, and `*monday-export.xlsx` for monday.com detail.</w:t>
            </w:r>
          </w:p>
        </w:tc>
      </w:tr>
      <w:tr>
        <w:trPr>
          <w:cantSplit/>
        </w:trPr>
        <w:tc>
          <w:tcPr>
            <w:tcW w:type="dxa" w:w="2400"/>
          </w:tcPr>
          <w:p>
            <w:pPr>
              <w:spacing w:after="0"/>
            </w:pPr>
            <w:r>
              <w:rPr>
                <w:rFonts w:ascii="Calibri" w:hAnsi="Calibri"/>
                <w:color w:val="122033"/>
                <w:sz w:val="19"/>
              </w:rPr>
              <w:t>monday.com access</w:t>
            </w:r>
          </w:p>
        </w:tc>
        <w:tc>
          <w:tcPr>
            <w:tcW w:type="dxa" w:w="6960"/>
          </w:tcPr>
          <w:p>
            <w:pPr>
              <w:spacing w:after="0"/>
            </w:pPr>
            <w:r>
              <w:rPr>
                <w:rFonts w:ascii="Calibri" w:hAnsi="Calibri"/>
                <w:color w:val="122033"/>
                <w:sz w:val="19"/>
              </w:rPr>
              <w:t>Daily export workbook preferred; API token fallback requires read access to the configured boards.</w:t>
            </w:r>
          </w:p>
        </w:tc>
      </w:tr>
      <w:tr>
        <w:trPr>
          <w:cantSplit/>
        </w:trPr>
        <w:tc>
          <w:tcPr>
            <w:tcW w:type="dxa" w:w="2400"/>
          </w:tcPr>
          <w:p>
            <w:pPr>
              <w:spacing w:after="0"/>
            </w:pPr>
            <w:r>
              <w:rPr>
                <w:rFonts w:ascii="Calibri" w:hAnsi="Calibri"/>
                <w:color w:val="122033"/>
                <w:sz w:val="19"/>
              </w:rPr>
              <w:t>Publishing</w:t>
            </w:r>
          </w:p>
        </w:tc>
        <w:tc>
          <w:tcPr>
            <w:tcW w:type="dxa" w:w="6960"/>
          </w:tcPr>
          <w:p>
            <w:pPr>
              <w:spacing w:after="0"/>
            </w:pPr>
            <w:r>
              <w:rPr>
                <w:rFonts w:ascii="Calibri" w:hAnsi="Calibri"/>
                <w:color w:val="122033"/>
                <w:sz w:val="19"/>
              </w:rPr>
              <w:t>GitHub Pages repository on main branch with static HTML, CSS, JavaScript, assets, and JSON data.</w:t>
            </w:r>
          </w:p>
        </w:tc>
      </w:tr>
      <w:tr>
        <w:trPr>
          <w:cantSplit/>
        </w:trPr>
        <w:tc>
          <w:tcPr>
            <w:tcW w:type="dxa" w:w="2400"/>
          </w:tcPr>
          <w:p>
            <w:pPr>
              <w:spacing w:after="0"/>
            </w:pPr>
            <w:r>
              <w:rPr>
                <w:rFonts w:ascii="Calibri" w:hAnsi="Calibri"/>
                <w:color w:val="122033"/>
                <w:sz w:val="19"/>
              </w:rPr>
              <w:t>Automation</w:t>
            </w:r>
          </w:p>
        </w:tc>
        <w:tc>
          <w:tcPr>
            <w:tcW w:type="dxa" w:w="6960"/>
          </w:tcPr>
          <w:p>
            <w:pPr>
              <w:spacing w:after="0"/>
            </w:pPr>
            <w:r>
              <w:rPr>
                <w:rFonts w:ascii="Calibri" w:hAnsi="Calibri"/>
                <w:color w:val="122033"/>
                <w:sz w:val="19"/>
              </w:rPr>
              <w:t>One LaunchAgent that refreshes source data and deploys generated data as verified Pages artifacts. Ordinary linear Git commits are reserved for source changes.</w:t>
            </w:r>
          </w:p>
        </w:tc>
      </w:tr>
      <w:tr>
        <w:trPr>
          <w:cantSplit/>
        </w:trPr>
        <w:tc>
          <w:tcPr>
            <w:tcW w:type="dxa" w:w="2400"/>
          </w:tcPr>
          <w:p>
            <w:pPr>
              <w:spacing w:after="0"/>
            </w:pPr>
            <w:r>
              <w:rPr>
                <w:rFonts w:ascii="Calibri" w:hAnsi="Calibri"/>
                <w:color w:val="122033"/>
                <w:sz w:val="19"/>
              </w:rPr>
              <w:t>Privacy gate</w:t>
            </w:r>
          </w:p>
        </w:tc>
        <w:tc>
          <w:tcPr>
            <w:tcW w:type="dxa" w:w="6960"/>
          </w:tcPr>
          <w:p>
            <w:pPr>
              <w:spacing w:after="0"/>
            </w:pPr>
            <w:r>
              <w:rPr>
                <w:rFonts w:ascii="Calibri" w:hAnsi="Calibri"/>
                <w:color w:val="122033"/>
                <w:sz w:val="19"/>
              </w:rPr>
              <w:t>`tools/sanitize_public_person_names.py` abbreviates covered public person-name fields and fails closed before deployment if a covered full name remains.</w:t>
            </w:r>
          </w:p>
        </w:tc>
      </w:tr>
      <w:tr>
        <w:trPr>
          <w:cantSplit/>
        </w:trPr>
        <w:tc>
          <w:tcPr>
            <w:tcW w:type="dxa" w:w="2400"/>
          </w:tcPr>
          <w:p>
            <w:pPr>
              <w:spacing w:after="0"/>
            </w:pPr>
            <w:r>
              <w:rPr>
                <w:rFonts w:ascii="Calibri" w:hAnsi="Calibri"/>
                <w:color w:val="122033"/>
                <w:sz w:val="19"/>
              </w:rPr>
              <w:t>Service Area hierarchy</w:t>
            </w:r>
          </w:p>
        </w:tc>
        <w:tc>
          <w:tcPr>
            <w:tcW w:type="dxa" w:w="6960"/>
          </w:tcPr>
          <w:p>
            <w:pPr>
              <w:spacing w:after="0"/>
            </w:pPr>
            <w:r>
              <w:rPr>
                <w:rFonts w:ascii="Calibri" w:hAnsi="Calibri"/>
                <w:color w:val="122033"/>
                <w:sz w:val="19"/>
              </w:rPr>
              <w:t>Read access to monday.com board 18420160563 for Service Areas and district leadership.</w:t>
            </w:r>
          </w:p>
        </w:tc>
      </w:tr>
      <w:tr>
        <w:trPr>
          <w:cantSplit/>
        </w:trPr>
        <w:tc>
          <w:tcPr>
            <w:tcW w:type="dxa" w:w="2400"/>
          </w:tcPr>
          <w:p>
            <w:pPr>
              <w:spacing w:after="0"/>
            </w:pPr>
            <w:r>
              <w:rPr>
                <w:rFonts w:ascii="Calibri" w:hAnsi="Calibri"/>
                <w:color w:val="122033"/>
                <w:sz w:val="19"/>
              </w:rPr>
              <w:t>Panel help</w:t>
            </w:r>
          </w:p>
        </w:tc>
        <w:tc>
          <w:tcPr>
            <w:tcW w:type="dxa" w:w="6960"/>
          </w:tcPr>
          <w:p>
            <w:pPr>
              <w:spacing w:after="0"/>
            </w:pPr>
            <w:r>
              <w:rPr>
                <w:rFonts w:ascii="Calibri" w:hAnsi="Calibri"/>
                <w:color w:val="122033"/>
                <w:sz w:val="19"/>
              </w:rPr>
              <w:t>Shared `panel-help.js` and dashboard CSS provide active hover, focus, and click/tap help popovers for the ? controls.</w:t>
            </w:r>
          </w:p>
        </w:tc>
      </w:tr>
    </w:tbl>
    <w:p>
      <w:pPr>
        <w:spacing w:after="8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Technical runbook</w:t>
            </w:r>
          </w:p>
          <w:p>
            <w:pPr>
              <w:spacing w:after="0"/>
            </w:pPr>
            <w:r>
              <w:rPr>
                <w:rFonts w:ascii="Calibri" w:hAnsi="Calibri"/>
                <w:color w:val="122033"/>
                <w:sz w:val="21"/>
              </w:rPr>
              <w:t>The repository file IMPLEMENTATION_RUNBOOK.md documents setup paths, source acquisition, manual refresh commands, schedule/log checks, validation steps, common failure modes, and guidance for rebuilding a similar dashboard.</w:t>
            </w:r>
          </w:p>
        </w:tc>
      </w:tr>
    </w:tbl>
    <w:p>
      <w:pPr>
        <w:spacing w:after="40"/>
      </w:pPr>
    </w:p>
    <w:p>
      <w:pPr>
        <w:pStyle w:val="Heading1"/>
      </w:pPr>
      <w:r>
        <w:t>5. How The Main Page Metrics Are Calculated</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300"/>
        <w:gridCol w:w="7060"/>
      </w:tblGrid>
      <w:tr>
        <w:trPr>
          <w:cantSplit/>
          <w:tblHeader w:val="true"/>
        </w:trPr>
        <w:tc>
          <w:tcPr>
            <w:tcW w:type="dxa" w:w="2300"/>
            <w:tcMar>
              <w:top w:w="80" w:type="dxa"/>
              <w:start w:w="120" w:type="dxa"/>
              <w:bottom w:w="80" w:type="dxa"/>
              <w:end w:w="120" w:type="dxa"/>
            </w:tcMar>
            <w:vAlign w:val="center"/>
            <w:shd w:fill="E8EEF5"/>
          </w:tcPr>
          <w:p>
            <w:pPr>
              <w:spacing w:after="0"/>
            </w:pPr>
            <w:r>
              <w:rPr>
                <w:rFonts w:ascii="Calibri" w:hAnsi="Calibri"/>
                <w:b/>
                <w:color w:val="122033"/>
                <w:sz w:val="19"/>
              </w:rPr>
              <w:t>Displayed metric</w:t>
            </w:r>
          </w:p>
        </w:tc>
        <w:tc>
          <w:tcPr>
            <w:tcW w:type="dxa" w:w="7060"/>
            <w:tcMar>
              <w:top w:w="80" w:type="dxa"/>
              <w:start w:w="120" w:type="dxa"/>
              <w:bottom w:w="80" w:type="dxa"/>
              <w:end w:w="120" w:type="dxa"/>
            </w:tcMar>
            <w:vAlign w:val="center"/>
            <w:shd w:fill="E8EEF5"/>
          </w:tcPr>
          <w:p>
            <w:pPr>
              <w:spacing w:after="0"/>
            </w:pPr>
            <w:r>
              <w:rPr>
                <w:rFonts w:ascii="Calibri" w:hAnsi="Calibri"/>
                <w:b/>
                <w:color w:val="122033"/>
                <w:sz w:val="19"/>
              </w:rPr>
              <w:t>Plain-English calculation</w:t>
            </w:r>
          </w:p>
        </w:tc>
      </w:tr>
      <w:tr>
        <w:trPr>
          <w:cantSplit/>
        </w:trPr>
        <w:tc>
          <w:tcPr>
            <w:tcW w:type="dxa" w:w="2300"/>
          </w:tcPr>
          <w:p>
            <w:pPr>
              <w:spacing w:after="0"/>
            </w:pPr>
            <w:r>
              <w:rPr>
                <w:rFonts w:ascii="Calibri" w:hAnsi="Calibri"/>
                <w:color w:val="122033"/>
                <w:sz w:val="19"/>
              </w:rPr>
              <w:t>Youth</w:t>
            </w:r>
          </w:p>
        </w:tc>
        <w:tc>
          <w:tcPr>
            <w:tcW w:type="dxa" w:w="7060"/>
          </w:tcPr>
          <w:p>
            <w:pPr>
              <w:spacing w:after="0"/>
            </w:pPr>
            <w:r>
              <w:rPr>
                <w:rFonts w:ascii="Calibri" w:hAnsi="Calibri"/>
                <w:color w:val="122033"/>
                <w:sz w:val="19"/>
              </w:rPr>
              <w:t>Sum of district youth membership from the Membership tab.</w:t>
            </w:r>
          </w:p>
        </w:tc>
      </w:tr>
      <w:tr>
        <w:trPr>
          <w:cantSplit/>
        </w:trPr>
        <w:tc>
          <w:tcPr>
            <w:tcW w:type="dxa" w:w="2300"/>
          </w:tcPr>
          <w:p>
            <w:pPr>
              <w:spacing w:after="0"/>
            </w:pPr>
            <w:r>
              <w:rPr>
                <w:rFonts w:ascii="Calibri" w:hAnsi="Calibri"/>
                <w:color w:val="122033"/>
                <w:sz w:val="19"/>
              </w:rPr>
              <w:t>Retention</w:t>
            </w:r>
          </w:p>
        </w:tc>
        <w:tc>
          <w:tcPr>
            <w:tcW w:type="dxa" w:w="7060"/>
          </w:tcPr>
          <w:p>
            <w:pPr>
              <w:spacing w:after="0"/>
            </w:pPr>
            <w:r>
              <w:rPr>
                <w:rFonts w:ascii="Calibri" w:hAnsi="Calibri"/>
                <w:color w:val="122033"/>
                <w:sz w:val="19"/>
              </w:rPr>
              <w:t>Weighted average of district retention values from the selected Unit Metric Compare section, using units with a reported retention value as weights. The Council view uses All Units.</w:t>
            </w:r>
          </w:p>
        </w:tc>
      </w:tr>
      <w:tr>
        <w:trPr>
          <w:cantSplit/>
        </w:trPr>
        <w:tc>
          <w:tcPr>
            <w:tcW w:type="dxa" w:w="2300"/>
          </w:tcPr>
          <w:p>
            <w:pPr>
              <w:spacing w:after="0"/>
            </w:pPr>
            <w:r>
              <w:rPr>
                <w:rFonts w:ascii="Calibri" w:hAnsi="Calibri"/>
                <w:color w:val="122033"/>
                <w:sz w:val="19"/>
              </w:rPr>
              <w:t>Units</w:t>
            </w:r>
          </w:p>
        </w:tc>
        <w:tc>
          <w:tcPr>
            <w:tcW w:type="dxa" w:w="7060"/>
          </w:tcPr>
          <w:p>
            <w:pPr>
              <w:spacing w:after="0"/>
            </w:pPr>
            <w:r>
              <w:rPr>
                <w:rFonts w:ascii="Calibri" w:hAnsi="Calibri"/>
                <w:color w:val="122033"/>
                <w:sz w:val="19"/>
              </w:rPr>
              <w:t>Sum of district unit counts from the Membership tab.</w:t>
            </w:r>
          </w:p>
        </w:tc>
      </w:tr>
      <w:tr>
        <w:trPr>
          <w:cantSplit/>
        </w:trPr>
        <w:tc>
          <w:tcPr>
            <w:tcW w:type="dxa" w:w="2300"/>
          </w:tcPr>
          <w:p>
            <w:pPr>
              <w:spacing w:after="0"/>
            </w:pPr>
            <w:r>
              <w:rPr>
                <w:rFonts w:ascii="Calibri" w:hAnsi="Calibri"/>
                <w:color w:val="122033"/>
                <w:sz w:val="19"/>
              </w:rPr>
              <w:t>Average Metric</w:t>
            </w:r>
          </w:p>
        </w:tc>
        <w:tc>
          <w:tcPr>
            <w:tcW w:type="dxa" w:w="7060"/>
          </w:tcPr>
          <w:p>
            <w:pPr>
              <w:spacing w:after="0"/>
            </w:pPr>
            <w:r>
              <w:rPr>
                <w:rFonts w:ascii="Calibri" w:hAnsi="Calibri"/>
                <w:color w:val="122033"/>
                <w:sz w:val="19"/>
              </w:rPr>
              <w:t>District average metrics weighted by the number of units in each district.</w:t>
            </w:r>
          </w:p>
        </w:tc>
      </w:tr>
      <w:tr>
        <w:trPr>
          <w:cantSplit/>
        </w:trPr>
        <w:tc>
          <w:tcPr>
            <w:tcW w:type="dxa" w:w="2300"/>
          </w:tcPr>
          <w:p>
            <w:pPr>
              <w:spacing w:after="0"/>
            </w:pPr>
            <w:r>
              <w:rPr>
                <w:rFonts w:ascii="Calibri" w:hAnsi="Calibri"/>
                <w:color w:val="122033"/>
                <w:sz w:val="19"/>
              </w:rPr>
              <w:t>Assigned</w:t>
            </w:r>
          </w:p>
        </w:tc>
        <w:tc>
          <w:tcPr>
            <w:tcW w:type="dxa" w:w="7060"/>
          </w:tcPr>
          <w:p>
            <w:pPr>
              <w:spacing w:after="0"/>
            </w:pPr>
            <w:r>
              <w:rPr>
                <w:rFonts w:ascii="Calibri" w:hAnsi="Calibri"/>
                <w:color w:val="122033"/>
                <w:sz w:val="19"/>
              </w:rPr>
              <w:t>Assigned units divided by total units. Assigned units come from the Assigned tab.</w:t>
            </w:r>
          </w:p>
        </w:tc>
      </w:tr>
      <w:tr>
        <w:trPr>
          <w:cantSplit/>
        </w:trPr>
        <w:tc>
          <w:tcPr>
            <w:tcW w:type="dxa" w:w="2300"/>
          </w:tcPr>
          <w:p>
            <w:pPr>
              <w:spacing w:after="0"/>
            </w:pPr>
            <w:r>
              <w:rPr>
                <w:rFonts w:ascii="Calibri" w:hAnsi="Calibri"/>
                <w:color w:val="122033"/>
                <w:sz w:val="19"/>
              </w:rPr>
              <w:t>Training</w:t>
            </w:r>
          </w:p>
        </w:tc>
        <w:tc>
          <w:tcPr>
            <w:tcW w:type="dxa" w:w="7060"/>
          </w:tcPr>
          <w:p>
            <w:pPr>
              <w:spacing w:after="0"/>
            </w:pPr>
            <w:r>
              <w:rPr>
                <w:rFonts w:ascii="Calibri" w:hAnsi="Calibri"/>
                <w:color w:val="122033"/>
                <w:sz w:val="19"/>
              </w:rPr>
              <w:t>District all-scouter training rates weighted by units.</w:t>
            </w:r>
          </w:p>
        </w:tc>
      </w:tr>
      <w:tr>
        <w:trPr>
          <w:cantSplit/>
        </w:trPr>
        <w:tc>
          <w:tcPr>
            <w:tcW w:type="dxa" w:w="2300"/>
          </w:tcPr>
          <w:p>
            <w:pPr>
              <w:spacing w:after="0"/>
            </w:pPr>
            <w:r>
              <w:rPr>
                <w:rFonts w:ascii="Calibri" w:hAnsi="Calibri"/>
                <w:color w:val="122033"/>
                <w:sz w:val="19"/>
              </w:rPr>
              <w:t>Volunteers</w:t>
            </w:r>
          </w:p>
        </w:tc>
        <w:tc>
          <w:tcPr>
            <w:tcW w:type="dxa" w:w="7060"/>
          </w:tcPr>
          <w:p>
            <w:pPr>
              <w:spacing w:after="0"/>
            </w:pPr>
            <w:r>
              <w:rPr>
                <w:rFonts w:ascii="Calibri" w:hAnsi="Calibri"/>
                <w:color w:val="122033"/>
                <w:sz w:val="19"/>
              </w:rPr>
              <w:t>Councilwide value published on the Membership tab, calculated by the source workbook as the count of unique nonblank Member IDs in the Training roster. It is not district- or program-filterable.</w:t>
            </w:r>
          </w:p>
        </w:tc>
      </w:tr>
      <w:tr>
        <w:trPr>
          <w:cantSplit/>
        </w:trPr>
        <w:tc>
          <w:tcPr>
            <w:tcW w:type="dxa" w:w="2300"/>
          </w:tcPr>
          <w:p>
            <w:pPr>
              <w:spacing w:after="0"/>
            </w:pPr>
            <w:r>
              <w:rPr>
                <w:rFonts w:ascii="Calibri" w:hAnsi="Calibri"/>
                <w:color w:val="122033"/>
                <w:sz w:val="19"/>
              </w:rPr>
              <w:t>Youth / TAY</w:t>
            </w:r>
          </w:p>
        </w:tc>
        <w:tc>
          <w:tcPr>
            <w:tcW w:type="dxa" w:w="7060"/>
          </w:tcPr>
          <w:p>
            <w:pPr>
              <w:spacing w:after="0"/>
            </w:pPr>
            <w:r>
              <w:rPr>
                <w:rFonts w:ascii="Calibri" w:hAnsi="Calibri"/>
                <w:color w:val="122033"/>
                <w:sz w:val="19"/>
              </w:rPr>
              <w:t>Council: council youth divided by raw school-row TAY. Program view: actual program youth divided by estimated grade/age-eligible school TAY.</w:t>
            </w:r>
          </w:p>
        </w:tc>
      </w:tr>
      <w:tr>
        <w:trPr>
          <w:cantSplit/>
        </w:trPr>
        <w:tc>
          <w:tcPr>
            <w:tcW w:type="dxa" w:w="2300"/>
          </w:tcPr>
          <w:p>
            <w:pPr>
              <w:spacing w:after="0"/>
            </w:pPr>
            <w:r>
              <w:rPr>
                <w:rFonts w:ascii="Calibri" w:hAnsi="Calibri"/>
                <w:color w:val="122033"/>
                <w:sz w:val="19"/>
              </w:rPr>
              <w:t>Popcorn Participation</w:t>
            </w:r>
          </w:p>
        </w:tc>
        <w:tc>
          <w:tcPr>
            <w:tcW w:type="dxa" w:w="7060"/>
          </w:tcPr>
          <w:p>
            <w:pPr>
              <w:spacing w:after="0"/>
            </w:pPr>
            <w:r>
              <w:rPr>
                <w:rFonts w:ascii="Calibri" w:hAnsi="Calibri"/>
                <w:color w:val="122033"/>
                <w:sz w:val="19"/>
              </w:rPr>
              <w:t>Units marked Committed divided by every unit row in the published Popcorn snapshot.</w:t>
            </w:r>
          </w:p>
        </w:tc>
      </w:tr>
    </w:tbl>
    <w:p>
      <w:pPr>
        <w:spacing w:after="80"/>
      </w:pPr>
    </w:p>
    <w:p>
      <w:pPr>
        <w:pStyle w:val="Heading2"/>
      </w:pPr>
      <w:r>
        <w:t>Master program filter</w:t>
      </w:r>
    </w:p>
    <w:p>
      <w:pPr>
        <w:pStyle w:val="BodyText"/>
      </w:pPr>
      <w:r>
        <w:t>The masthead filter carries Council, Packs, Troops, Crews, Ships, or Posts across linked pages. It uses direct unit-type fields where available and standardized unit names where a source does not publish a separate type field.</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600"/>
        <w:gridCol w:w="6760"/>
      </w:tblGrid>
      <w:tr>
        <w:trPr>
          <w:cantSplit/>
          <w:tblHeader w:val="true"/>
        </w:trPr>
        <w:tc>
          <w:tcPr>
            <w:tcW w:type="dxa" w:w="2600"/>
            <w:tcMar>
              <w:top w:w="80" w:type="dxa"/>
              <w:start w:w="120" w:type="dxa"/>
              <w:bottom w:w="80" w:type="dxa"/>
              <w:end w:w="120" w:type="dxa"/>
            </w:tcMar>
            <w:vAlign w:val="center"/>
            <w:shd w:fill="E8EEF5"/>
          </w:tcPr>
          <w:p>
            <w:pPr>
              <w:spacing w:after="0"/>
            </w:pPr>
            <w:r>
              <w:rPr>
                <w:rFonts w:ascii="Calibri" w:hAnsi="Calibri"/>
                <w:b/>
                <w:color w:val="122033"/>
                <w:sz w:val="19"/>
              </w:rPr>
              <w:t>Source or panel</w:t>
            </w:r>
          </w:p>
        </w:tc>
        <w:tc>
          <w:tcPr>
            <w:tcW w:type="dxa" w:w="6760"/>
            <w:tcMar>
              <w:top w:w="80" w:type="dxa"/>
              <w:start w:w="120" w:type="dxa"/>
              <w:bottom w:w="80" w:type="dxa"/>
              <w:end w:w="120" w:type="dxa"/>
            </w:tcMar>
            <w:vAlign w:val="center"/>
            <w:shd w:fill="E8EEF5"/>
          </w:tcPr>
          <w:p>
            <w:pPr>
              <w:spacing w:after="0"/>
            </w:pPr>
            <w:r>
              <w:rPr>
                <w:rFonts w:ascii="Calibri" w:hAnsi="Calibri"/>
                <w:b/>
                <w:color w:val="122033"/>
                <w:sz w:val="19"/>
              </w:rPr>
              <w:t>Program-view behavior</w:t>
            </w:r>
          </w:p>
        </w:tc>
      </w:tr>
      <w:tr>
        <w:trPr>
          <w:cantSplit/>
        </w:trPr>
        <w:tc>
          <w:tcPr>
            <w:tcW w:type="dxa" w:w="2600"/>
          </w:tcPr>
          <w:p>
            <w:pPr>
              <w:spacing w:after="0"/>
            </w:pPr>
            <w:r>
              <w:rPr>
                <w:rFonts w:ascii="Calibri" w:hAnsi="Calibri"/>
                <w:color w:val="122033"/>
                <w:sz w:val="19"/>
              </w:rPr>
              <w:t>Unit Level Metrics</w:t>
            </w:r>
          </w:p>
        </w:tc>
        <w:tc>
          <w:tcPr>
            <w:tcW w:type="dxa" w:w="6760"/>
          </w:tcPr>
          <w:p>
            <w:pPr>
              <w:spacing w:after="0"/>
            </w:pPr>
            <w:r>
              <w:rPr>
                <w:rFonts w:ascii="Calibri" w:hAnsi="Calibri"/>
                <w:color w:val="122033"/>
                <w:sz w:val="19"/>
              </w:rPr>
              <w:t>Uses the direct unit_type field to rebuild youth, units, health, growth, training, SYT, and assignment rollups.</w:t>
            </w:r>
          </w:p>
        </w:tc>
      </w:tr>
      <w:tr>
        <w:trPr>
          <w:cantSplit/>
        </w:trPr>
        <w:tc>
          <w:tcPr>
            <w:tcW w:type="dxa" w:w="2600"/>
          </w:tcPr>
          <w:p>
            <w:pPr>
              <w:spacing w:after="0"/>
            </w:pPr>
            <w:r>
              <w:rPr>
                <w:rFonts w:ascii="Calibri" w:hAnsi="Calibri"/>
                <w:color w:val="122033"/>
                <w:sz w:val="19"/>
              </w:rPr>
              <w:t>Training and SYT</w:t>
            </w:r>
          </w:p>
        </w:tc>
        <w:tc>
          <w:tcPr>
            <w:tcW w:type="dxa" w:w="6760"/>
          </w:tcPr>
          <w:p>
            <w:pPr>
              <w:spacing w:after="0"/>
            </w:pPr>
            <w:r>
              <w:rPr>
                <w:rFonts w:ascii="Calibri" w:hAnsi="Calibri"/>
                <w:color w:val="122033"/>
                <w:sz w:val="19"/>
              </w:rPr>
              <w:t>Uses each published person's direct unit_type field.</w:t>
            </w:r>
          </w:p>
        </w:tc>
      </w:tr>
      <w:tr>
        <w:trPr>
          <w:cantSplit/>
        </w:trPr>
        <w:tc>
          <w:tcPr>
            <w:tcW w:type="dxa" w:w="2600"/>
          </w:tcPr>
          <w:p>
            <w:pPr>
              <w:spacing w:after="0"/>
            </w:pPr>
            <w:r>
              <w:rPr>
                <w:rFonts w:ascii="Calibri" w:hAnsi="Calibri"/>
                <w:color w:val="122033"/>
                <w:sz w:val="19"/>
              </w:rPr>
              <w:t>Prospects</w:t>
            </w:r>
          </w:p>
        </w:tc>
        <w:tc>
          <w:tcPr>
            <w:tcW w:type="dxa" w:w="6760"/>
          </w:tcPr>
          <w:p>
            <w:pPr>
              <w:spacing w:after="0"/>
            </w:pPr>
            <w:r>
              <w:rPr>
                <w:rFonts w:ascii="Calibri" w:hAnsi="Calibri"/>
                <w:color w:val="122033"/>
                <w:sz w:val="19"/>
              </w:rPr>
              <w:t>Uses Potential Unit Type(s); a multi-type prospect can appear in more than one program view.</w:t>
            </w:r>
          </w:p>
        </w:tc>
      </w:tr>
      <w:tr>
        <w:trPr>
          <w:cantSplit/>
        </w:trPr>
        <w:tc>
          <w:tcPr>
            <w:tcW w:type="dxa" w:w="2600"/>
          </w:tcPr>
          <w:p>
            <w:pPr>
              <w:spacing w:after="0"/>
            </w:pPr>
            <w:r>
              <w:rPr>
                <w:rFonts w:ascii="Calibri" w:hAnsi="Calibri"/>
                <w:color w:val="122033"/>
                <w:sz w:val="19"/>
              </w:rPr>
              <w:t>Renewal and Popcorn</w:t>
            </w:r>
          </w:p>
        </w:tc>
        <w:tc>
          <w:tcPr>
            <w:tcW w:type="dxa" w:w="6760"/>
          </w:tcPr>
          <w:p>
            <w:pPr>
              <w:spacing w:after="0"/>
            </w:pPr>
            <w:r>
              <w:rPr>
                <w:rFonts w:ascii="Calibri" w:hAnsi="Calibri"/>
                <w:color w:val="122033"/>
                <w:sz w:val="19"/>
              </w:rPr>
              <w:t>Parses program from standardized unit names; Posts are excluded from the published Popcorn population.</w:t>
            </w:r>
          </w:p>
        </w:tc>
      </w:tr>
      <w:tr>
        <w:trPr>
          <w:cantSplit/>
        </w:trPr>
        <w:tc>
          <w:tcPr>
            <w:tcW w:type="dxa" w:w="2600"/>
          </w:tcPr>
          <w:p>
            <w:pPr>
              <w:spacing w:after="0"/>
            </w:pPr>
            <w:r>
              <w:rPr>
                <w:rFonts w:ascii="Calibri" w:hAnsi="Calibri"/>
                <w:color w:val="122033"/>
                <w:sz w:val="19"/>
              </w:rPr>
              <w:t>Units-Youth and CST</w:t>
            </w:r>
          </w:p>
        </w:tc>
        <w:tc>
          <w:tcPr>
            <w:tcW w:type="dxa" w:w="6760"/>
          </w:tcPr>
          <w:p>
            <w:pPr>
              <w:spacing w:after="0"/>
            </w:pPr>
            <w:r>
              <w:rPr>
                <w:rFonts w:ascii="Calibri" w:hAnsi="Calibri"/>
                <w:color w:val="122033"/>
                <w:sz w:val="19"/>
              </w:rPr>
              <w:t>Remain council-only except for source-native Pack/Troop connection fields.</w:t>
            </w:r>
          </w:p>
        </w:tc>
      </w:tr>
    </w:tbl>
    <w:p>
      <w:pPr>
        <w:spacing w:after="80"/>
      </w:pPr>
    </w:p>
    <w:p>
      <w:pPr>
        <w:pStyle w:val="Heading2"/>
      </w:pPr>
      <w:r>
        <w:t>District status</w:t>
      </w:r>
    </w:p>
    <w:p>
      <w:pPr>
        <w:pStyle w:val="BodyText"/>
      </w:pPr>
      <w:r>
        <w:t>Each district is labeled Needs Attention, Monitor, or On Track using threshold rules.</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after="0"/>
            </w:pPr>
            <w:r>
              <w:rPr>
                <w:rFonts w:ascii="Calibri" w:hAnsi="Calibri"/>
                <w:b/>
                <w:color w:val="122033"/>
                <w:sz w:val="19"/>
              </w:rPr>
              <w:t>Status</w:t>
            </w:r>
          </w:p>
        </w:tc>
        <w:tc>
          <w:tcPr>
            <w:tcW w:type="dxa" w:w="7260"/>
            <w:tcMar>
              <w:top w:w="80" w:type="dxa"/>
              <w:start w:w="120" w:type="dxa"/>
              <w:bottom w:w="80" w:type="dxa"/>
              <w:end w:w="120" w:type="dxa"/>
            </w:tcMar>
            <w:vAlign w:val="center"/>
            <w:shd w:fill="E8EEF5"/>
          </w:tcPr>
          <w:p>
            <w:pPr>
              <w:spacing w:after="0"/>
            </w:pPr>
            <w:r>
              <w:rPr>
                <w:rFonts w:ascii="Calibri" w:hAnsi="Calibri"/>
                <w:b/>
                <w:color w:val="122033"/>
                <w:sz w:val="19"/>
              </w:rPr>
              <w:t>Rule</w:t>
            </w:r>
          </w:p>
        </w:tc>
      </w:tr>
      <w:tr>
        <w:trPr>
          <w:cantSplit/>
        </w:trPr>
        <w:tc>
          <w:tcPr>
            <w:tcW w:type="dxa" w:w="2100"/>
          </w:tcPr>
          <w:p>
            <w:pPr>
              <w:spacing w:after="0"/>
            </w:pPr>
            <w:r>
              <w:rPr>
                <w:rFonts w:ascii="Calibri" w:hAnsi="Calibri"/>
                <w:color w:val="122033"/>
                <w:sz w:val="19"/>
              </w:rPr>
              <w:t>Needs Attention</w:t>
            </w:r>
          </w:p>
        </w:tc>
        <w:tc>
          <w:tcPr>
            <w:tcW w:type="dxa" w:w="7260"/>
          </w:tcPr>
          <w:p>
            <w:pPr>
              <w:spacing w:after="0"/>
            </w:pPr>
            <w:r>
              <w:rPr>
                <w:rFonts w:ascii="Calibri" w:hAnsi="Calibri"/>
                <w:color w:val="122033"/>
                <w:sz w:val="19"/>
              </w:rPr>
              <w:t>YoY membership is below -10%, or SYT is below 80%, or at-risk unit rate is 55% or higher.</w:t>
            </w:r>
          </w:p>
        </w:tc>
      </w:tr>
      <w:tr>
        <w:trPr>
          <w:cantSplit/>
        </w:trPr>
        <w:tc>
          <w:tcPr>
            <w:tcW w:type="dxa" w:w="2100"/>
          </w:tcPr>
          <w:p>
            <w:pPr>
              <w:spacing w:after="0"/>
            </w:pPr>
            <w:r>
              <w:rPr>
                <w:rFonts w:ascii="Calibri" w:hAnsi="Calibri"/>
                <w:color w:val="122033"/>
                <w:sz w:val="19"/>
              </w:rPr>
              <w:t>Monitor</w:t>
            </w:r>
          </w:p>
        </w:tc>
        <w:tc>
          <w:tcPr>
            <w:tcW w:type="dxa" w:w="7260"/>
          </w:tcPr>
          <w:p>
            <w:pPr>
              <w:spacing w:after="0"/>
            </w:pPr>
            <w:r>
              <w:rPr>
                <w:rFonts w:ascii="Calibri" w:hAnsi="Calibri"/>
                <w:color w:val="122033"/>
                <w:sz w:val="19"/>
              </w:rPr>
              <w:t>Training is below 65%, or at-risk unit rate is 40% or higher, or SYT is below 85%.</w:t>
            </w:r>
          </w:p>
        </w:tc>
      </w:tr>
      <w:tr>
        <w:trPr>
          <w:cantSplit/>
        </w:trPr>
        <w:tc>
          <w:tcPr>
            <w:tcW w:type="dxa" w:w="2100"/>
          </w:tcPr>
          <w:p>
            <w:pPr>
              <w:spacing w:after="0"/>
            </w:pPr>
            <w:r>
              <w:rPr>
                <w:rFonts w:ascii="Calibri" w:hAnsi="Calibri"/>
                <w:color w:val="122033"/>
                <w:sz w:val="19"/>
              </w:rPr>
              <w:t>On Track</w:t>
            </w:r>
          </w:p>
        </w:tc>
        <w:tc>
          <w:tcPr>
            <w:tcW w:type="dxa" w:w="7260"/>
          </w:tcPr>
          <w:p>
            <w:pPr>
              <w:spacing w:after="0"/>
            </w:pPr>
            <w:r>
              <w:rPr>
                <w:rFonts w:ascii="Calibri" w:hAnsi="Calibri"/>
                <w:color w:val="122033"/>
                <w:sz w:val="19"/>
              </w:rPr>
              <w:t>None of the Needs Attention or Monitor rules apply.</w:t>
            </w:r>
          </w:p>
        </w:tc>
      </w:tr>
    </w:tbl>
    <w:p>
      <w:pPr>
        <w:spacing w:after="80"/>
      </w:pPr>
    </w:p>
    <w:p>
      <w:pPr>
        <w:pStyle w:val="Heading2"/>
      </w:pPr>
      <w:r>
        <w:t>BeAScout PIN status and follow-up</w:t>
      </w:r>
    </w:p>
    <w:p>
      <w:pPr>
        <w:pStyle w:val="BodyText"/>
      </w:pPr>
      <w:r>
        <w:t>The dashboard uses one PIN classification in Unit Follow-up, the first Unit-Level Detail KPI, the Unit Health Funnel, and the District Performance scorecard. It does not treat a missing match as an inactive PIN.</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1800"/>
        <w:gridCol w:w="7560"/>
      </w:tblGrid>
      <w:tr>
        <w:trPr>
          <w:cantSplit/>
          <w:tblHeader w:val="true"/>
        </w:trPr>
        <w:tc>
          <w:tcPr>
            <w:tcW w:type="dxa" w:w="1800"/>
            <w:tcMar>
              <w:top w:w="80" w:type="dxa"/>
              <w:start w:w="120" w:type="dxa"/>
              <w:bottom w:w="80" w:type="dxa"/>
              <w:end w:w="120" w:type="dxa"/>
            </w:tcMar>
            <w:vAlign w:val="center"/>
            <w:shd w:fill="E8EEF5"/>
          </w:tcPr>
          <w:p>
            <w:pPr>
              <w:spacing w:after="0"/>
            </w:pPr>
            <w:r>
              <w:rPr>
                <w:rFonts w:ascii="Calibri" w:hAnsi="Calibri"/>
                <w:b/>
                <w:color w:val="122033"/>
                <w:sz w:val="19"/>
              </w:rPr>
              <w:t>Display state</w:t>
            </w:r>
          </w:p>
        </w:tc>
        <w:tc>
          <w:tcPr>
            <w:tcW w:type="dxa" w:w="7560"/>
            <w:tcMar>
              <w:top w:w="80" w:type="dxa"/>
              <w:start w:w="120" w:type="dxa"/>
              <w:bottom w:w="80" w:type="dxa"/>
              <w:end w:w="120" w:type="dxa"/>
            </w:tcMar>
            <w:vAlign w:val="center"/>
            <w:shd w:fill="E8EEF5"/>
          </w:tcPr>
          <w:p>
            <w:pPr>
              <w:spacing w:after="0"/>
            </w:pPr>
            <w:r>
              <w:rPr>
                <w:rFonts w:ascii="Calibri" w:hAnsi="Calibri"/>
                <w:b/>
                <w:color w:val="122033"/>
                <w:sz w:val="19"/>
              </w:rPr>
              <w:t>Plain-English meaning</w:t>
            </w:r>
          </w:p>
        </w:tc>
      </w:tr>
      <w:tr>
        <w:trPr>
          <w:cantSplit/>
        </w:trPr>
        <w:tc>
          <w:tcPr>
            <w:tcW w:type="dxa" w:w="1800"/>
          </w:tcPr>
          <w:p>
            <w:pPr>
              <w:spacing w:after="0"/>
            </w:pPr>
            <w:r>
              <w:rPr>
                <w:rFonts w:ascii="Calibri" w:hAnsi="Calibri"/>
                <w:color w:val="122033"/>
                <w:sz w:val="19"/>
              </w:rPr>
              <w:t>Active</w:t>
            </w:r>
          </w:p>
        </w:tc>
        <w:tc>
          <w:tcPr>
            <w:tcW w:type="dxa" w:w="7560"/>
          </w:tcPr>
          <w:p>
            <w:pPr>
              <w:spacing w:after="0"/>
            </w:pPr>
            <w:r>
              <w:rPr>
                <w:rFonts w:ascii="Calibri" w:hAnsi="Calibri"/>
                <w:color w:val="122033"/>
                <w:sz w:val="19"/>
              </w:rPr>
              <w:t>The matched PIN is current and the source state is Active.</w:t>
            </w:r>
          </w:p>
        </w:tc>
      </w:tr>
      <w:tr>
        <w:trPr>
          <w:cantSplit/>
        </w:trPr>
        <w:tc>
          <w:tcPr>
            <w:tcW w:type="dxa" w:w="1800"/>
          </w:tcPr>
          <w:p>
            <w:pPr>
              <w:spacing w:after="0"/>
            </w:pPr>
            <w:r>
              <w:rPr>
                <w:rFonts w:ascii="Calibri" w:hAnsi="Calibri"/>
                <w:color w:val="122033"/>
                <w:sz w:val="19"/>
              </w:rPr>
              <w:t>Inactive</w:t>
            </w:r>
          </w:p>
        </w:tc>
        <w:tc>
          <w:tcPr>
            <w:tcW w:type="dxa" w:w="7560"/>
          </w:tcPr>
          <w:p>
            <w:pPr>
              <w:spacing w:after="0"/>
            </w:pPr>
            <w:r>
              <w:rPr>
                <w:rFonts w:ascii="Calibri" w:hAnsi="Calibri"/>
                <w:color w:val="122033"/>
                <w:sz w:val="19"/>
              </w:rPr>
              <w:t>The matched PIN is current and the source state is Inactive.</w:t>
            </w:r>
          </w:p>
        </w:tc>
      </w:tr>
      <w:tr>
        <w:trPr>
          <w:cantSplit/>
        </w:trPr>
        <w:tc>
          <w:tcPr>
            <w:tcW w:type="dxa" w:w="1800"/>
          </w:tcPr>
          <w:p>
            <w:pPr>
              <w:spacing w:after="0"/>
            </w:pPr>
            <w:r>
              <w:rPr>
                <w:rFonts w:ascii="Calibri" w:hAnsi="Calibri"/>
                <w:color w:val="122033"/>
                <w:sz w:val="19"/>
              </w:rPr>
              <w:t>Stale</w:t>
            </w:r>
          </w:p>
        </w:tc>
        <w:tc>
          <w:tcPr>
            <w:tcW w:type="dxa" w:w="7560"/>
          </w:tcPr>
          <w:p>
            <w:pPr>
              <w:spacing w:after="0"/>
            </w:pPr>
            <w:r>
              <w:rPr>
                <w:rFonts w:ascii="Calibri" w:hAnsi="Calibri"/>
                <w:color w:val="122033"/>
                <w:sz w:val="19"/>
              </w:rPr>
              <w:t>More than 12 months have passed since the matched PIN's last update, or its update date is blank or unusable.</w:t>
            </w:r>
          </w:p>
        </w:tc>
      </w:tr>
      <w:tr>
        <w:trPr>
          <w:cantSplit/>
        </w:trPr>
        <w:tc>
          <w:tcPr>
            <w:tcW w:type="dxa" w:w="1800"/>
          </w:tcPr>
          <w:p>
            <w:pPr>
              <w:spacing w:after="0"/>
            </w:pPr>
            <w:r>
              <w:rPr>
                <w:rFonts w:ascii="Calibri" w:hAnsi="Calibri"/>
                <w:color w:val="122033"/>
                <w:sz w:val="19"/>
              </w:rPr>
              <w:t>n/a</w:t>
            </w:r>
          </w:p>
        </w:tc>
        <w:tc>
          <w:tcPr>
            <w:tcW w:type="dxa" w:w="7560"/>
          </w:tcPr>
          <w:p>
            <w:pPr>
              <w:spacing w:after="0"/>
            </w:pPr>
            <w:r>
              <w:rPr>
                <w:rFonts w:ascii="Calibri" w:hAnsi="Calibri"/>
                <w:color w:val="122033"/>
                <w:sz w:val="19"/>
              </w:rPr>
              <w:t>No PIN record was matched to the unit. This does not mean inactive or stale.</w:t>
            </w:r>
          </w:p>
        </w:tc>
      </w:tr>
    </w:tbl>
    <w:p>
      <w:pPr>
        <w:spacing w:after="8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How the funnel percentage works</w:t>
            </w:r>
          </w:p>
          <w:p>
            <w:pPr>
              <w:spacing w:after="0"/>
            </w:pPr>
            <w:r>
              <w:rPr>
                <w:rFonts w:ascii="Calibri" w:hAnsi="Calibri"/>
                <w:color w:val="122033"/>
                <w:sz w:val="21"/>
              </w:rPr>
              <w:t>Inactive + Stale is the matched follow-up count. The percentage divides that count by all tracked membership-dashboard units in the selected program view. Units without a matched PIN stay in the denominator, so do not divide only by the number of PIN-status rows.</w:t>
            </w:r>
          </w:p>
        </w:tc>
      </w:tr>
    </w:tbl>
    <w:p>
      <w:pPr>
        <w:spacing w:after="4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Required PIN Details is separate from freshness</w:t>
            </w:r>
          </w:p>
          <w:p>
            <w:pPr>
              <w:spacing w:after="0"/>
            </w:pPr>
            <w:r>
              <w:rPr>
                <w:rFonts w:ascii="Calibri" w:hAnsi="Calibri"/>
                <w:color w:val="122033"/>
                <w:sz w:val="21"/>
              </w:rPr>
              <w:t>A matched PIN is complete when status, contact name plus either email or phone, meeting location, and meeting details are present. Website, fee, fundraising, and availability are not counted. Complete matched PINs are divided by all tracked units, including units without a matched PIN. District PIN Detail shows Last Updated between PIN Status and Required PIN Details. Unit Profile shows Last Updated directly below PIN status and freshness; it uses the formatted calendar date, Not recorded for a matched PIN without a usable date, and n/a for an unmatched unit. The public data contains only the last-updated date and completion flags, not the raw timestamp or contact or meeting values.</w:t>
            </w:r>
          </w:p>
        </w:tc>
      </w:tr>
    </w:tbl>
    <w:p>
      <w:pPr>
        <w:spacing w:after="40"/>
      </w:pPr>
    </w:p>
    <w:p>
      <w:pPr>
        <w:pStyle w:val="Heading1"/>
      </w:pPr>
      <w:r>
        <w:t>6. What Each Dashboard Page Adds</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after="0"/>
            </w:pPr>
            <w:r>
              <w:rPr>
                <w:rFonts w:ascii="Calibri" w:hAnsi="Calibri"/>
                <w:b/>
                <w:color w:val="122033"/>
                <w:sz w:val="19"/>
              </w:rPr>
              <w:t>Page</w:t>
            </w:r>
          </w:p>
        </w:tc>
        <w:tc>
          <w:tcPr>
            <w:tcW w:type="dxa" w:w="7260"/>
            <w:tcMar>
              <w:top w:w="80" w:type="dxa"/>
              <w:start w:w="120" w:type="dxa"/>
              <w:bottom w:w="80" w:type="dxa"/>
              <w:end w:w="120" w:type="dxa"/>
            </w:tcMar>
            <w:vAlign w:val="center"/>
            <w:shd w:fill="E8EEF5"/>
          </w:tcPr>
          <w:p>
            <w:pPr>
              <w:spacing w:after="0"/>
            </w:pPr>
            <w:r>
              <w:rPr>
                <w:rFonts w:ascii="Calibri" w:hAnsi="Calibri"/>
                <w:b/>
                <w:color w:val="122033"/>
                <w:sz w:val="19"/>
              </w:rPr>
              <w:t>What it answers</w:t>
            </w:r>
          </w:p>
        </w:tc>
      </w:tr>
      <w:tr>
        <w:trPr>
          <w:cantSplit/>
        </w:trPr>
        <w:tc>
          <w:tcPr>
            <w:tcW w:type="dxa" w:w="2100"/>
          </w:tcPr>
          <w:p>
            <w:pPr>
              <w:spacing w:after="0"/>
            </w:pPr>
            <w:r>
              <w:rPr>
                <w:rFonts w:ascii="Calibri" w:hAnsi="Calibri"/>
                <w:color w:val="122033"/>
                <w:sz w:val="19"/>
              </w:rPr>
              <w:t>Overview</w:t>
            </w:r>
          </w:p>
        </w:tc>
        <w:tc>
          <w:tcPr>
            <w:tcW w:type="dxa" w:w="7260"/>
          </w:tcPr>
          <w:p>
            <w:pPr>
              <w:spacing w:after="0"/>
            </w:pPr>
            <w:r>
              <w:rPr>
                <w:rFonts w:ascii="Calibri" w:hAnsi="Calibri"/>
                <w:color w:val="122033"/>
                <w:sz w:val="19"/>
              </w:rPr>
              <w:t>What the Council's current KPI picture is, including PIN state in Signals to Watch, and which operating areas need attention first. Explore links directly to PIN Status &amp; Completeness.</w:t>
            </w:r>
          </w:p>
        </w:tc>
      </w:tr>
      <w:tr>
        <w:trPr>
          <w:cantSplit/>
        </w:trPr>
        <w:tc>
          <w:tcPr>
            <w:tcW w:type="dxa" w:w="2100"/>
          </w:tcPr>
          <w:p>
            <w:pPr>
              <w:spacing w:after="0"/>
            </w:pPr>
            <w:r>
              <w:rPr>
                <w:rFonts w:ascii="Calibri" w:hAnsi="Calibri"/>
                <w:color w:val="122033"/>
                <w:sz w:val="19"/>
              </w:rPr>
              <w:t>Council Comparison</w:t>
            </w:r>
          </w:p>
        </w:tc>
        <w:tc>
          <w:tcPr>
            <w:tcW w:type="dxa" w:w="7260"/>
          </w:tcPr>
          <w:p>
            <w:pPr>
              <w:spacing w:after="0"/>
            </w:pPr>
            <w:r>
              <w:rPr>
                <w:rFonts w:ascii="Calibri" w:hAnsi="Calibri"/>
                <w:color w:val="122033"/>
                <w:sz w:val="19"/>
              </w:rPr>
              <w:t>How Capitol Area Council compares with other Service Territory 07 councils.</w:t>
            </w:r>
          </w:p>
        </w:tc>
      </w:tr>
      <w:tr>
        <w:trPr>
          <w:cantSplit/>
        </w:trPr>
        <w:tc>
          <w:tcPr>
            <w:tcW w:type="dxa" w:w="2100"/>
          </w:tcPr>
          <w:p>
            <w:pPr>
              <w:spacing w:after="0"/>
            </w:pPr>
            <w:r>
              <w:rPr>
                <w:rFonts w:ascii="Calibri" w:hAnsi="Calibri"/>
                <w:color w:val="122033"/>
                <w:sz w:val="19"/>
              </w:rPr>
              <w:t>District Performance</w:t>
            </w:r>
          </w:p>
        </w:tc>
        <w:tc>
          <w:tcPr>
            <w:tcW w:type="dxa" w:w="7260"/>
          </w:tcPr>
          <w:p>
            <w:pPr>
              <w:spacing w:after="0"/>
            </w:pPr>
            <w:r>
              <w:rPr>
                <w:rFonts w:ascii="Calibri" w:hAnsi="Calibri"/>
                <w:color w:val="122033"/>
                <w:sz w:val="19"/>
              </w:rPr>
              <w:t>Which districts lead or lag across membership, unit health, PIN currency, training, SYT, and commissioner coverage, with expandable district rows showing individual unit health and direct Unit-Level Detail links.</w:t>
            </w:r>
          </w:p>
        </w:tc>
      </w:tr>
      <w:tr>
        <w:trPr>
          <w:cantSplit/>
        </w:trPr>
        <w:tc>
          <w:tcPr>
            <w:tcW w:type="dxa" w:w="2100"/>
          </w:tcPr>
          <w:p>
            <w:pPr>
              <w:spacing w:after="0"/>
            </w:pPr>
            <w:r>
              <w:rPr>
                <w:rFonts w:ascii="Calibri" w:hAnsi="Calibri"/>
                <w:color w:val="122033"/>
                <w:sz w:val="19"/>
              </w:rPr>
              <w:t>PIN Status &amp; Completeness</w:t>
            </w:r>
          </w:p>
        </w:tc>
        <w:tc>
          <w:tcPr>
            <w:tcW w:type="dxa" w:w="7260"/>
          </w:tcPr>
          <w:p>
            <w:pPr>
              <w:spacing w:after="0"/>
            </w:pPr>
            <w:r>
              <w:rPr>
                <w:rFonts w:ascii="Calibri" w:hAnsi="Calibri"/>
                <w:color w:val="122033"/>
                <w:sz w:val="19"/>
              </w:rPr>
              <w:t>Which districts need PIN freshness or essential contact-and-meeting detail follow-up, with expandable district rows that identify individual unit status and missing categories without publishing private field values.</w:t>
            </w:r>
          </w:p>
        </w:tc>
      </w:tr>
      <w:tr>
        <w:trPr>
          <w:cantSplit/>
        </w:trPr>
        <w:tc>
          <w:tcPr>
            <w:tcW w:type="dxa" w:w="2100"/>
          </w:tcPr>
          <w:p>
            <w:pPr>
              <w:spacing w:after="0"/>
            </w:pPr>
            <w:r>
              <w:rPr>
                <w:rFonts w:ascii="Calibri" w:hAnsi="Calibri"/>
                <w:color w:val="122033"/>
                <w:sz w:val="19"/>
              </w:rPr>
              <w:t>Membership &amp; Growth</w:t>
            </w:r>
          </w:p>
        </w:tc>
        <w:tc>
          <w:tcPr>
            <w:tcW w:type="dxa" w:w="7260"/>
          </w:tcPr>
          <w:p>
            <w:pPr>
              <w:spacing w:after="0"/>
            </w:pPr>
            <w:r>
              <w:rPr>
                <w:rFonts w:ascii="Calibri" w:hAnsi="Calibri"/>
                <w:color w:val="122033"/>
                <w:sz w:val="19"/>
              </w:rPr>
              <w:t>Where membership opportunity, TAY penetration, unit health risk, prospects, and renewals combine into priority signals.</w:t>
            </w:r>
          </w:p>
        </w:tc>
      </w:tr>
      <w:tr>
        <w:trPr>
          <w:cantSplit/>
        </w:trPr>
        <w:tc>
          <w:tcPr>
            <w:tcW w:type="dxa" w:w="2100"/>
          </w:tcPr>
          <w:p>
            <w:pPr>
              <w:spacing w:after="0"/>
            </w:pPr>
            <w:r>
              <w:rPr>
                <w:rFonts w:ascii="Calibri" w:hAnsi="Calibri"/>
                <w:color w:val="122033"/>
                <w:sz w:val="19"/>
              </w:rPr>
              <w:t>Unit Health &amp; Renewal</w:t>
            </w:r>
          </w:p>
        </w:tc>
        <w:tc>
          <w:tcPr>
            <w:tcW w:type="dxa" w:w="7260"/>
          </w:tcPr>
          <w:p>
            <w:pPr>
              <w:spacing w:after="0"/>
            </w:pPr>
            <w:r>
              <w:rPr>
                <w:rFonts w:ascii="Calibri" w:hAnsi="Calibri"/>
                <w:color w:val="122033"/>
                <w:sz w:val="19"/>
              </w:rPr>
              <w:t>Where unit health, assignment, combined Inactive + Stale BeAScout PINs, Unit Key 3 coverage, and renewal follow-up require action.</w:t>
            </w:r>
          </w:p>
        </w:tc>
      </w:tr>
      <w:tr>
        <w:trPr>
          <w:cantSplit/>
        </w:trPr>
        <w:tc>
          <w:tcPr>
            <w:tcW w:type="dxa" w:w="2100"/>
          </w:tcPr>
          <w:p>
            <w:pPr>
              <w:spacing w:after="0"/>
            </w:pPr>
            <w:r>
              <w:rPr>
                <w:rFonts w:ascii="Calibri" w:hAnsi="Calibri"/>
                <w:color w:val="122033"/>
                <w:sz w:val="19"/>
              </w:rPr>
              <w:t>People &amp; Readiness</w:t>
            </w:r>
          </w:p>
        </w:tc>
        <w:tc>
          <w:tcPr>
            <w:tcW w:type="dxa" w:w="7260"/>
          </w:tcPr>
          <w:p>
            <w:pPr>
              <w:spacing w:after="0"/>
            </w:pPr>
            <w:r>
              <w:rPr>
                <w:rFonts w:ascii="Calibri" w:hAnsi="Calibri"/>
                <w:color w:val="122033"/>
                <w:sz w:val="19"/>
              </w:rPr>
              <w:t>Where leader training, safeguarding, and camping-readiness gaps are concentrated.</w:t>
            </w:r>
          </w:p>
        </w:tc>
      </w:tr>
      <w:tr>
        <w:trPr>
          <w:cantSplit/>
        </w:trPr>
        <w:tc>
          <w:tcPr>
            <w:tcW w:type="dxa" w:w="2100"/>
          </w:tcPr>
          <w:p>
            <w:pPr>
              <w:spacing w:after="0"/>
            </w:pPr>
            <w:r>
              <w:rPr>
                <w:rFonts w:ascii="Calibri" w:hAnsi="Calibri"/>
                <w:color w:val="122033"/>
                <w:sz w:val="19"/>
              </w:rPr>
              <w:t>Training</w:t>
            </w:r>
          </w:p>
        </w:tc>
        <w:tc>
          <w:tcPr>
            <w:tcW w:type="dxa" w:w="7260"/>
          </w:tcPr>
          <w:p>
            <w:pPr>
              <w:spacing w:after="0"/>
            </w:pPr>
            <w:r>
              <w:rPr>
                <w:rFonts w:ascii="Calibri" w:hAnsi="Calibri"/>
                <w:color w:val="122033"/>
                <w:sz w:val="19"/>
              </w:rPr>
              <w:t>Which people are trained, which leaders are direct-contact, and where direct-contact training gaps exist.</w:t>
            </w:r>
          </w:p>
        </w:tc>
      </w:tr>
      <w:tr>
        <w:trPr>
          <w:cantSplit/>
        </w:trPr>
        <w:tc>
          <w:tcPr>
            <w:tcW w:type="dxa" w:w="2100"/>
          </w:tcPr>
          <w:p>
            <w:pPr>
              <w:spacing w:after="0"/>
            </w:pPr>
            <w:r>
              <w:rPr>
                <w:rFonts w:ascii="Calibri" w:hAnsi="Calibri"/>
                <w:color w:val="122033"/>
                <w:sz w:val="19"/>
              </w:rPr>
              <w:t>SYT</w:t>
            </w:r>
          </w:p>
        </w:tc>
        <w:tc>
          <w:tcPr>
            <w:tcW w:type="dxa" w:w="7260"/>
          </w:tcPr>
          <w:p>
            <w:pPr>
              <w:spacing w:after="0"/>
            </w:pPr>
            <w:r>
              <w:rPr>
                <w:rFonts w:ascii="Calibri" w:hAnsi="Calibri"/>
                <w:color w:val="122033"/>
                <w:sz w:val="19"/>
              </w:rPr>
              <w:t>Safeguarding Youth Training follow-up plus applicable Hazardous Weather and IOLS position-training issues; BALOO is informational at person level.</w:t>
            </w:r>
          </w:p>
        </w:tc>
      </w:tr>
      <w:tr>
        <w:trPr>
          <w:cantSplit/>
        </w:trPr>
        <w:tc>
          <w:tcPr>
            <w:tcW w:type="dxa" w:w="2100"/>
          </w:tcPr>
          <w:p>
            <w:pPr>
              <w:spacing w:after="0"/>
            </w:pPr>
            <w:r>
              <w:rPr>
                <w:rFonts w:ascii="Calibri" w:hAnsi="Calibri"/>
                <w:color w:val="122033"/>
                <w:sz w:val="19"/>
              </w:rPr>
              <w:t>Pack Camping Readiness</w:t>
            </w:r>
          </w:p>
        </w:tc>
        <w:tc>
          <w:tcPr>
            <w:tcW w:type="dxa" w:w="7260"/>
          </w:tcPr>
          <w:p>
            <w:pPr>
              <w:spacing w:after="0"/>
            </w:pPr>
            <w:r>
              <w:rPr>
                <w:rFonts w:ascii="Calibri" w:hAnsi="Calibri"/>
                <w:color w:val="122033"/>
                <w:sz w:val="19"/>
              </w:rPr>
              <w:t>Which Packs are Gap, Fragile, Preferred Depth, or Unknown for BALOO leadership depth, with Hazardous Weather filtered separately.</w:t>
            </w:r>
          </w:p>
        </w:tc>
      </w:tr>
      <w:tr>
        <w:trPr>
          <w:cantSplit/>
        </w:trPr>
        <w:tc>
          <w:tcPr>
            <w:tcW w:type="dxa" w:w="2100"/>
          </w:tcPr>
          <w:p>
            <w:pPr>
              <w:spacing w:after="0"/>
            </w:pPr>
            <w:r>
              <w:rPr>
                <w:rFonts w:ascii="Calibri" w:hAnsi="Calibri"/>
                <w:color w:val="122033"/>
                <w:sz w:val="19"/>
              </w:rPr>
              <w:t>Troop Camping Readiness</w:t>
            </w:r>
          </w:p>
        </w:tc>
        <w:tc>
          <w:tcPr>
            <w:tcW w:type="dxa" w:w="7260"/>
          </w:tcPr>
          <w:p>
            <w:pPr>
              <w:spacing w:after="0"/>
            </w:pPr>
            <w:r>
              <w:rPr>
                <w:rFonts w:ascii="Calibri" w:hAnsi="Calibri"/>
                <w:color w:val="122033"/>
                <w:sz w:val="19"/>
              </w:rPr>
              <w:t>Which Troops are Gap, Fragile, Preferred Depth, or Unknown for IOLS-trained Scoutmaster/Assistant Scoutmaster depth, with Hazardous Weather filtered separately.</w:t>
            </w:r>
          </w:p>
        </w:tc>
      </w:tr>
      <w:tr>
        <w:trPr>
          <w:cantSplit/>
        </w:trPr>
        <w:tc>
          <w:tcPr>
            <w:tcW w:type="dxa" w:w="2100"/>
          </w:tcPr>
          <w:p>
            <w:pPr>
              <w:spacing w:after="0"/>
            </w:pPr>
            <w:r>
              <w:rPr>
                <w:rFonts w:ascii="Calibri" w:hAnsi="Calibri"/>
                <w:color w:val="122033"/>
                <w:sz w:val="19"/>
              </w:rPr>
              <w:t>Recruitment Pipeline</w:t>
            </w:r>
          </w:p>
        </w:tc>
        <w:tc>
          <w:tcPr>
            <w:tcW w:type="dxa" w:w="7260"/>
          </w:tcPr>
          <w:p>
            <w:pPr>
              <w:spacing w:after="0"/>
            </w:pPr>
            <w:r>
              <w:rPr>
                <w:rFonts w:ascii="Calibri" w:hAnsi="Calibri"/>
                <w:color w:val="122033"/>
                <w:sz w:val="19"/>
              </w:rPr>
              <w:t>Where prospect, renewal, and school operating follow-up is concentrated.</w:t>
            </w:r>
          </w:p>
        </w:tc>
      </w:tr>
      <w:tr>
        <w:trPr>
          <w:cantSplit/>
        </w:trPr>
        <w:tc>
          <w:tcPr>
            <w:tcW w:type="dxa" w:w="2100"/>
          </w:tcPr>
          <w:p>
            <w:pPr>
              <w:spacing w:after="0"/>
            </w:pPr>
            <w:r>
              <w:rPr>
                <w:rFonts w:ascii="Calibri" w:hAnsi="Calibri"/>
                <w:color w:val="122033"/>
                <w:sz w:val="19"/>
              </w:rPr>
              <w:t>Cub Scout JSN</w:t>
            </w:r>
          </w:p>
        </w:tc>
        <w:tc>
          <w:tcPr>
            <w:tcW w:type="dxa" w:w="7260"/>
          </w:tcPr>
          <w:p>
            <w:pPr>
              <w:spacing w:after="0"/>
            </w:pPr>
            <w:r>
              <w:rPr>
                <w:rFonts w:ascii="Calibri" w:hAnsi="Calibri"/>
                <w:color w:val="122033"/>
                <w:sz w:val="19"/>
              </w:rPr>
              <w:t>How school recruiting plans, dates, locations, materials, and uncovered schools compare with the monday.com source dashboard.</w:t>
            </w:r>
          </w:p>
        </w:tc>
      </w:tr>
      <w:tr>
        <w:trPr>
          <w:cantSplit/>
        </w:trPr>
        <w:tc>
          <w:tcPr>
            <w:tcW w:type="dxa" w:w="2100"/>
          </w:tcPr>
          <w:p>
            <w:pPr>
              <w:spacing w:after="0"/>
            </w:pPr>
            <w:r>
              <w:rPr>
                <w:rFonts w:ascii="Calibri" w:hAnsi="Calibri"/>
                <w:color w:val="122033"/>
                <w:sz w:val="19"/>
              </w:rPr>
              <w:t>Popcorn</w:t>
            </w:r>
          </w:p>
        </w:tc>
        <w:tc>
          <w:tcPr>
            <w:tcW w:type="dxa" w:w="7260"/>
          </w:tcPr>
          <w:p>
            <w:pPr>
              <w:spacing w:after="0"/>
            </w:pPr>
            <w:r>
              <w:rPr>
                <w:rFonts w:ascii="Calibri" w:hAnsi="Calibri"/>
                <w:color w:val="122033"/>
                <w:sz w:val="19"/>
              </w:rPr>
              <w:t>How unit commitments, goals, prior sales, onboarding, and training roll up from Service Area to District to Unit.</w:t>
            </w:r>
          </w:p>
        </w:tc>
      </w:tr>
      <w:tr>
        <w:trPr>
          <w:cantSplit/>
        </w:trPr>
        <w:tc>
          <w:tcPr>
            <w:tcW w:type="dxa" w:w="2100"/>
          </w:tcPr>
          <w:p>
            <w:pPr>
              <w:spacing w:after="0"/>
            </w:pPr>
            <w:r>
              <w:rPr>
                <w:rFonts w:ascii="Calibri" w:hAnsi="Calibri"/>
                <w:color w:val="122033"/>
                <w:sz w:val="19"/>
              </w:rPr>
              <w:t>Unit Metrics</w:t>
            </w:r>
          </w:p>
        </w:tc>
        <w:tc>
          <w:tcPr>
            <w:tcW w:type="dxa" w:w="7260"/>
          </w:tcPr>
          <w:p>
            <w:pPr>
              <w:spacing w:after="0"/>
            </w:pPr>
            <w:r>
              <w:rPr>
                <w:rFonts w:ascii="Calibri" w:hAnsi="Calibri"/>
                <w:color w:val="122033"/>
                <w:sz w:val="19"/>
              </w:rPr>
              <w:t>How districts and unit sections compare across unit health, training, outdoor, advancement, and the current workbook retention metric.</w:t>
            </w:r>
          </w:p>
        </w:tc>
      </w:tr>
      <w:tr>
        <w:trPr>
          <w:cantSplit/>
        </w:trPr>
        <w:tc>
          <w:tcPr>
            <w:tcW w:type="dxa" w:w="2100"/>
          </w:tcPr>
          <w:p>
            <w:pPr>
              <w:spacing w:after="0"/>
            </w:pPr>
            <w:r>
              <w:rPr>
                <w:rFonts w:ascii="Calibri" w:hAnsi="Calibri"/>
                <w:color w:val="122033"/>
                <w:sz w:val="19"/>
              </w:rPr>
              <w:t>Unit-Level Detail</w:t>
            </w:r>
          </w:p>
        </w:tc>
        <w:tc>
          <w:tcPr>
            <w:tcW w:type="dxa" w:w="7260"/>
          </w:tcPr>
          <w:p>
            <w:pPr>
              <w:spacing w:after="0"/>
            </w:pPr>
            <w:r>
              <w:rPr>
                <w:rFonts w:ascii="Calibri" w:hAnsi="Calibri"/>
                <w:color w:val="122033"/>
                <w:sz w:val="19"/>
              </w:rPr>
              <w:t>Which individual units and members drive program-specific youth, growth, training, SYT, health, assignment, BeAScout PIN status and freshness, PIN Last Updated, overall Required PIN Details, separate status, contact, and meeting completion categories in Unit Profile, and Pack/Troop camping-readiness status.</w:t>
            </w:r>
          </w:p>
        </w:tc>
      </w:tr>
      <w:tr>
        <w:trPr>
          <w:cantSplit/>
        </w:trPr>
        <w:tc>
          <w:tcPr>
            <w:tcW w:type="dxa" w:w="2100"/>
          </w:tcPr>
          <w:p>
            <w:pPr>
              <w:spacing w:after="0"/>
            </w:pPr>
            <w:r>
              <w:rPr>
                <w:rFonts w:ascii="Calibri" w:hAnsi="Calibri"/>
                <w:color w:val="122033"/>
                <w:sz w:val="19"/>
              </w:rPr>
              <w:t>Unit Key 3 Coverage</w:t>
            </w:r>
          </w:p>
        </w:tc>
        <w:tc>
          <w:tcPr>
            <w:tcW w:type="dxa" w:w="7260"/>
          </w:tcPr>
          <w:p>
            <w:pPr>
              <w:spacing w:after="0"/>
            </w:pPr>
            <w:r>
              <w:rPr>
                <w:rFonts w:ascii="Calibri" w:hAnsi="Calibri"/>
                <w:color w:val="122033"/>
                <w:sz w:val="19"/>
              </w:rPr>
              <w:t>Which units have current Unit Leader, Committee Chair, and COR/CUR coverage, which positions are missing, and how completion compares by unit type. Status offers All statuses, Complete, Missing 1, Missing 2, Missing 3, 1 or more expired SYTs, and 1 or more SYTs expiring within 90 days and combines with the other filters. Detail is organized in collapsible Service Area and District groups and shows SYT expiration beneath each holder. Dates due within 90 days are yellow and expired dates are red. Either a current COR or CUR satisfies the third position.</w:t>
            </w:r>
          </w:p>
        </w:tc>
      </w:tr>
      <w:tr>
        <w:trPr>
          <w:cantSplit/>
        </w:trPr>
        <w:tc>
          <w:tcPr>
            <w:tcW w:type="dxa" w:w="2100"/>
          </w:tcPr>
          <w:p>
            <w:pPr>
              <w:spacing w:after="0"/>
            </w:pPr>
            <w:r>
              <w:rPr>
                <w:rFonts w:ascii="Calibri" w:hAnsi="Calibri"/>
                <w:color w:val="122033"/>
                <w:sz w:val="19"/>
              </w:rPr>
              <w:t>Renewal Status</w:t>
            </w:r>
          </w:p>
        </w:tc>
        <w:tc>
          <w:tcPr>
            <w:tcW w:type="dxa" w:w="7260"/>
          </w:tcPr>
          <w:p>
            <w:pPr>
              <w:spacing w:after="0"/>
            </w:pPr>
            <w:r>
              <w:rPr>
                <w:rFonts w:ascii="Calibri" w:hAnsi="Calibri"/>
                <w:color w:val="122033"/>
                <w:sz w:val="19"/>
              </w:rPr>
              <w:t>Which units are initiated, submitted, pending acceptance, posted, or otherwise need renewal follow-up.</w:t>
            </w:r>
          </w:p>
        </w:tc>
      </w:tr>
      <w:tr>
        <w:trPr>
          <w:cantSplit/>
        </w:trPr>
        <w:tc>
          <w:tcPr>
            <w:tcW w:type="dxa" w:w="2100"/>
          </w:tcPr>
          <w:p>
            <w:pPr>
              <w:spacing w:after="0"/>
            </w:pPr>
            <w:r>
              <w:rPr>
                <w:rFonts w:ascii="Calibri" w:hAnsi="Calibri"/>
                <w:color w:val="122033"/>
                <w:sz w:val="19"/>
              </w:rPr>
              <w:t>Data &amp; Help</w:t>
            </w:r>
          </w:p>
        </w:tc>
        <w:tc>
          <w:tcPr>
            <w:tcW w:type="dxa" w:w="7260"/>
          </w:tcPr>
          <w:p>
            <w:pPr>
              <w:spacing w:after="0"/>
            </w:pPr>
            <w:r>
              <w:rPr>
                <w:rFonts w:ascii="Calibri" w:hAnsi="Calibri"/>
                <w:color w:val="122033"/>
                <w:sz w:val="19"/>
              </w:rPr>
              <w:t>Which source workbooks are current, how values are calculated, where to report a problem, and which external training references apply.</w:t>
            </w:r>
          </w:p>
        </w:tc>
      </w:tr>
    </w:tbl>
    <w:p>
      <w:pPr>
        <w:spacing w:after="80"/>
      </w:pPr>
    </w:p>
    <w:p>
      <w:pPr>
        <w:pStyle w:val="BodyText"/>
      </w:pPr>
      <w:r>
        <w:t>Detail pages that compare district records also expose Service Area filters. District filters remain available inside the selected Service Area, and official district views exclude operational labels that are not part of the 12-district Council dashboard structure.</w:t>
      </w:r>
    </w:p>
    <w:p>
      <w:pPr>
        <w:pStyle w:val="Heading2"/>
      </w:pPr>
      <w:r>
        <w:t>Data &amp; Help references</w:t>
      </w:r>
    </w:p>
    <w:p>
      <w:pPr>
        <w:pStyle w:val="BodyText"/>
      </w:pPr>
      <w:r>
        <w:t>The Data &amp; Help page publishes direct links to these Scouting America reference documents:</w:t>
      </w:r>
    </w:p>
    <w:p>
      <w:pPr>
        <w:pStyle w:val="BodyText"/>
        <w:ind w:left="403" w:hanging="259"/>
      </w:pPr>
      <w:r>
        <w:t xml:space="preserve">•  </w:t>
      </w:r>
      <w:r>
        <w:rPr>
          <w:b/>
        </w:rPr>
        <w:t xml:space="preserve">Training Code List: </w:t>
      </w:r>
      <w:hyperlink r:id="rId12">
        <w:r>
          <w:rPr>
            <w:color w:val="2E74B5"/>
            <w:u w:val="single"/>
          </w:rPr>
          <w:t>https://www.scouting.org/wp-content/uploads/2026/01/Training-Codes-Jan-26.xlsx</w:t>
        </w:r>
      </w:hyperlink>
    </w:p>
    <w:p>
      <w:pPr>
        <w:pStyle w:val="BodyText"/>
        <w:ind w:left="403" w:hanging="259"/>
      </w:pPr>
      <w:r>
        <w:t xml:space="preserve">•  </w:t>
      </w:r>
      <w:r>
        <w:rPr>
          <w:b/>
        </w:rPr>
        <w:t xml:space="preserve">Trained Leader Requirements: </w:t>
      </w:r>
      <w:hyperlink r:id="rId13">
        <w:r>
          <w:rPr>
            <w:color w:val="2E74B5"/>
            <w:u w:val="single"/>
          </w:rPr>
          <w:t>https://www.scouting.org/wp-content/uploads/2025/05/Position-Trained-Requirements-Jun2025.pdf</w:t>
        </w:r>
      </w:hyperlink>
    </w:p>
    <w:p>
      <w:pPr>
        <w:pStyle w:val="Heading2"/>
      </w:pPr>
      <w:r>
        <w:t>Cub Scout JSN interpretation</w:t>
      </w:r>
    </w:p>
    <w:p>
      <w:pPr>
        <w:pStyle w:val="BodyText"/>
      </w:pPr>
      <w:r>
        <w:t>The Cub Scout JSN page is rebuilt directly from monday.com board 18420720719. Its charts preserve the source dashboard's widget-specific filters rather than applying one page-wide population to every graphic.</w:t>
      </w:r>
    </w:p>
    <w:p>
      <w:pPr>
        <w:pStyle w:val="ListBullet"/>
        <w:keepNext w:val="0"/>
        <w:keepLines w:val="0"/>
        <w:spacing w:before="20" w:after="80"/>
      </w:pPr>
      <w:r>
        <w:t>District recruitment includes dated recruitments and a No Date category.</w:t>
      </w:r>
    </w:p>
    <w:p>
      <w:pPr>
        <w:pStyle w:val="ListBullet"/>
        <w:keepNext w:val="0"/>
        <w:keepLines w:val="0"/>
        <w:spacing w:before="20" w:after="80"/>
      </w:pPr>
      <w:r>
        <w:t>School-planning gaps remain pie charts with their documented Cub-target, unit-association, plan-status, and district scopes.</w:t>
      </w:r>
    </w:p>
    <w:p>
      <w:pPr>
        <w:pStyle w:val="ListBullet"/>
        <w:keepNext w:val="0"/>
        <w:keepLines w:val="0"/>
        <w:spacing w:before="20" w:after="80"/>
      </w:pPr>
      <w:r>
        <w:t>Materials gauges total the full board and retain the source dashboard's fixed gauge maxima.</w:t>
      </w:r>
    </w:p>
    <w:p>
      <w:pPr>
        <w:pStyle w:val="ListBullet"/>
        <w:keepNext w:val="0"/>
        <w:keepLines w:val="0"/>
        <w:spacing w:before="20" w:after="80"/>
      </w:pPr>
      <w:r>
        <w:t>The former expenses gauge is not part of the current monday.com dashboard and is not published.</w:t>
      </w:r>
    </w:p>
    <w:p>
      <w:pPr>
        <w:pStyle w:val="Heading2"/>
      </w:pPr>
      <w:r>
        <w:t>Retention metric</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600"/>
        <w:gridCol w:w="6760"/>
      </w:tblGrid>
      <w:tr>
        <w:trPr>
          <w:cantSplit/>
          <w:tblHeader w:val="true"/>
        </w:trPr>
        <w:tc>
          <w:tcPr>
            <w:tcW w:type="dxa" w:w="2600"/>
            <w:tcMar>
              <w:top w:w="80" w:type="dxa"/>
              <w:start w:w="120" w:type="dxa"/>
              <w:bottom w:w="80" w:type="dxa"/>
              <w:end w:w="120" w:type="dxa"/>
            </w:tcMar>
            <w:vAlign w:val="center"/>
            <w:shd w:fill="E8EEF5"/>
          </w:tcPr>
          <w:p>
            <w:pPr>
              <w:spacing w:after="0"/>
            </w:pPr>
            <w:r>
              <w:rPr>
                <w:rFonts w:ascii="Calibri" w:hAnsi="Calibri"/>
                <w:b/>
                <w:color w:val="122033"/>
                <w:sz w:val="19"/>
              </w:rPr>
              <w:t>Question</w:t>
            </w:r>
          </w:p>
        </w:tc>
        <w:tc>
          <w:tcPr>
            <w:tcW w:type="dxa" w:w="6760"/>
            <w:tcMar>
              <w:top w:w="80" w:type="dxa"/>
              <w:start w:w="120" w:type="dxa"/>
              <w:bottom w:w="80" w:type="dxa"/>
              <w:end w:w="120" w:type="dxa"/>
            </w:tcMar>
            <w:vAlign w:val="center"/>
            <w:shd w:fill="E8EEF5"/>
          </w:tcPr>
          <w:p>
            <w:pPr>
              <w:spacing w:after="0"/>
            </w:pPr>
            <w:r>
              <w:rPr>
                <w:rFonts w:ascii="Calibri" w:hAnsi="Calibri"/>
                <w:b/>
                <w:color w:val="122033"/>
                <w:sz w:val="19"/>
              </w:rPr>
              <w:t>Current dashboard definition</w:t>
            </w:r>
          </w:p>
        </w:tc>
      </w:tr>
      <w:tr>
        <w:trPr>
          <w:cantSplit/>
        </w:trPr>
        <w:tc>
          <w:tcPr>
            <w:tcW w:type="dxa" w:w="2600"/>
          </w:tcPr>
          <w:p>
            <w:pPr>
              <w:spacing w:after="0"/>
            </w:pPr>
            <w:r>
              <w:rPr>
                <w:rFonts w:ascii="Calibri" w:hAnsi="Calibri"/>
                <w:color w:val="122033"/>
                <w:sz w:val="19"/>
              </w:rPr>
              <w:t>What is the formula?</w:t>
            </w:r>
          </w:p>
        </w:tc>
        <w:tc>
          <w:tcPr>
            <w:tcW w:type="dxa" w:w="6760"/>
          </w:tcPr>
          <w:p>
            <w:pPr>
              <w:spacing w:after="0"/>
            </w:pPr>
            <w:r>
              <w:rPr>
                <w:rFonts w:ascii="Calibri" w:hAnsi="Calibri"/>
                <w:color w:val="122033"/>
                <w:sz w:val="19"/>
              </w:rPr>
              <w:t>(Current members - members new in the prior 12 months) divided by same-month prior-year members.</w:t>
            </w:r>
          </w:p>
        </w:tc>
      </w:tr>
      <w:tr>
        <w:trPr>
          <w:cantSplit/>
        </w:trPr>
        <w:tc>
          <w:tcPr>
            <w:tcW w:type="dxa" w:w="2600"/>
          </w:tcPr>
          <w:p>
            <w:pPr>
              <w:spacing w:after="0"/>
            </w:pPr>
            <w:r>
              <w:rPr>
                <w:rFonts w:ascii="Calibri" w:hAnsi="Calibri"/>
                <w:color w:val="122033"/>
                <w:sz w:val="19"/>
              </w:rPr>
              <w:t>What does it measure?</w:t>
            </w:r>
          </w:p>
        </w:tc>
        <w:tc>
          <w:tcPr>
            <w:tcW w:type="dxa" w:w="6760"/>
          </w:tcPr>
          <w:p>
            <w:pPr>
              <w:spacing w:after="0"/>
            </w:pPr>
            <w:r>
              <w:rPr>
                <w:rFonts w:ascii="Calibri" w:hAnsi="Calibri"/>
                <w:color w:val="122033"/>
                <w:sz w:val="19"/>
              </w:rPr>
              <w:t>The share of the prior-year membership base represented by current members after removing people who joined within the prior 12 months.</w:t>
            </w:r>
          </w:p>
        </w:tc>
      </w:tr>
      <w:tr>
        <w:trPr>
          <w:cantSplit/>
        </w:trPr>
        <w:tc>
          <w:tcPr>
            <w:tcW w:type="dxa" w:w="2600"/>
          </w:tcPr>
          <w:p>
            <w:pPr>
              <w:spacing w:after="0"/>
            </w:pPr>
            <w:r>
              <w:rPr>
                <w:rFonts w:ascii="Calibri" w:hAnsi="Calibri"/>
                <w:color w:val="122033"/>
                <w:sz w:val="19"/>
              </w:rPr>
              <w:t>Can retention exceed 100%?</w:t>
            </w:r>
          </w:p>
        </w:tc>
        <w:tc>
          <w:tcPr>
            <w:tcW w:type="dxa" w:w="6760"/>
          </w:tcPr>
          <w:p>
            <w:pPr>
              <w:spacing w:after="0"/>
            </w:pPr>
            <w:r>
              <w:rPr>
                <w:rFonts w:ascii="Calibri" w:hAnsi="Calibri"/>
                <w:color w:val="122033"/>
                <w:sz w:val="19"/>
              </w:rPr>
              <w:t>Yes. Values above 100% are valid under this source-workbook formula and must not be capped.</w:t>
            </w:r>
          </w:p>
        </w:tc>
      </w:tr>
      <w:tr>
        <w:trPr>
          <w:cantSplit/>
        </w:trPr>
        <w:tc>
          <w:tcPr>
            <w:tcW w:type="dxa" w:w="2600"/>
          </w:tcPr>
          <w:p>
            <w:pPr>
              <w:spacing w:after="0"/>
            </w:pPr>
            <w:r>
              <w:rPr>
                <w:rFonts w:ascii="Calibri" w:hAnsi="Calibri"/>
                <w:color w:val="122033"/>
                <w:sz w:val="19"/>
              </w:rPr>
              <w:t>How is it published?</w:t>
            </w:r>
          </w:p>
        </w:tc>
        <w:tc>
          <w:tcPr>
            <w:tcW w:type="dxa" w:w="6760"/>
          </w:tcPr>
          <w:p>
            <w:pPr>
              <w:spacing w:after="0"/>
            </w:pPr>
            <w:r>
              <w:rPr>
                <w:rFonts w:ascii="Calibri" w:hAnsi="Calibri"/>
                <w:color w:val="122033"/>
                <w:sz w:val="19"/>
              </w:rPr>
              <w:t>The dashboard preserves the workbook's decimal ratio for calculations and sorting, then rounds displayed retention to the nearest whole percent. For example, 117.5% displays as 118%.</w:t>
            </w:r>
          </w:p>
        </w:tc>
      </w:tr>
    </w:tbl>
    <w:p>
      <w:pPr>
        <w:spacing w:after="80"/>
      </w:pPr>
    </w:p>
    <w:p>
      <w:pPr>
        <w:pStyle w:val="Heading1"/>
      </w:pPr>
      <w:r>
        <w:t>7. Service Area And District Filtering</w:t>
      </w:r>
    </w:p>
    <w:p>
      <w:pPr>
        <w:pStyle w:val="BodyText"/>
      </w:pPr>
      <w:r>
        <w:t>Service Area is not inferred from workbook formulas. The daily build captures the authoritative hierarchy from monday.com board 18420160563. That board also supplies Field Directors, district professionals, Volunteer Chairs, and District Commissioners; its leadership values replace workbook values, including intentional blanks. The builder attaches the hierarchy to district rows, priority units, training people, commissioner records, Unit Metric Compare rows, renewal data, and monday.com contexts where an official district can be identified.</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1700"/>
        <w:gridCol w:w="2200"/>
        <w:gridCol w:w="5460"/>
      </w:tblGrid>
      <w:tr>
        <w:trPr>
          <w:cantSplit/>
          <w:tblHeader w:val="true"/>
        </w:trPr>
        <w:tc>
          <w:tcPr>
            <w:tcW w:type="dxa" w:w="1700"/>
            <w:tcMar>
              <w:top w:w="80" w:type="dxa"/>
              <w:start w:w="120" w:type="dxa"/>
              <w:bottom w:w="80" w:type="dxa"/>
              <w:end w:w="120" w:type="dxa"/>
            </w:tcMar>
            <w:vAlign w:val="center"/>
            <w:shd w:fill="E8EEF5"/>
          </w:tcPr>
          <w:p>
            <w:pPr>
              <w:spacing w:after="0"/>
            </w:pPr>
            <w:r>
              <w:rPr>
                <w:rFonts w:ascii="Calibri" w:hAnsi="Calibri"/>
                <w:b/>
                <w:color w:val="122033"/>
                <w:sz w:val="19"/>
              </w:rPr>
              <w:t>Service Area</w:t>
            </w:r>
          </w:p>
        </w:tc>
        <w:tc>
          <w:tcPr>
            <w:tcW w:type="dxa" w:w="2200"/>
            <w:tcMar>
              <w:top w:w="80" w:type="dxa"/>
              <w:start w:w="120" w:type="dxa"/>
              <w:bottom w:w="80" w:type="dxa"/>
              <w:end w:w="120" w:type="dxa"/>
            </w:tcMar>
            <w:vAlign w:val="center"/>
            <w:shd w:fill="E8EEF5"/>
          </w:tcPr>
          <w:p>
            <w:pPr>
              <w:spacing w:after="0"/>
            </w:pPr>
            <w:r>
              <w:rPr>
                <w:rFonts w:ascii="Calibri" w:hAnsi="Calibri"/>
                <w:b/>
                <w:color w:val="122033"/>
                <w:sz w:val="19"/>
              </w:rPr>
              <w:t>Field Director</w:t>
            </w:r>
          </w:p>
        </w:tc>
        <w:tc>
          <w:tcPr>
            <w:tcW w:type="dxa" w:w="5460"/>
            <w:tcMar>
              <w:top w:w="80" w:type="dxa"/>
              <w:start w:w="120" w:type="dxa"/>
              <w:bottom w:w="80" w:type="dxa"/>
              <w:end w:w="120" w:type="dxa"/>
            </w:tcMar>
            <w:vAlign w:val="center"/>
            <w:shd w:fill="E8EEF5"/>
          </w:tcPr>
          <w:p>
            <w:pPr>
              <w:spacing w:after="0"/>
            </w:pPr>
            <w:r>
              <w:rPr>
                <w:rFonts w:ascii="Calibri" w:hAnsi="Calibri"/>
                <w:b/>
                <w:color w:val="122033"/>
                <w:sz w:val="19"/>
              </w:rPr>
              <w:t>Official districts</w:t>
            </w:r>
          </w:p>
        </w:tc>
      </w:tr>
      <w:tr>
        <w:trPr>
          <w:cantSplit/>
        </w:trPr>
        <w:tc>
          <w:tcPr>
            <w:tcW w:type="dxa" w:w="1700"/>
          </w:tcPr>
          <w:p>
            <w:pPr>
              <w:spacing w:after="0"/>
            </w:pPr>
            <w:r>
              <w:rPr>
                <w:rFonts w:ascii="Calibri" w:hAnsi="Calibri"/>
                <w:color w:val="122033"/>
                <w:sz w:val="19"/>
              </w:rPr>
              <w:t>Northern</w:t>
            </w:r>
          </w:p>
        </w:tc>
        <w:tc>
          <w:tcPr>
            <w:tcW w:type="dxa" w:w="2200"/>
          </w:tcPr>
          <w:p>
            <w:pPr>
              <w:spacing w:after="0"/>
            </w:pPr>
            <w:r>
              <w:rPr>
                <w:rFonts w:ascii="Calibri" w:hAnsi="Calibri"/>
                <w:color w:val="122033"/>
                <w:sz w:val="19"/>
              </w:rPr>
              <w:t>Justin B.</w:t>
            </w:r>
          </w:p>
        </w:tc>
        <w:tc>
          <w:tcPr>
            <w:tcW w:type="dxa" w:w="5460"/>
          </w:tcPr>
          <w:p>
            <w:pPr>
              <w:spacing w:after="0"/>
            </w:pPr>
            <w:r>
              <w:rPr>
                <w:rFonts w:ascii="Calibri" w:hAnsi="Calibri"/>
                <w:color w:val="122033"/>
                <w:sz w:val="19"/>
              </w:rPr>
              <w:t>Bee Cave; Chisholm Trail; Hill Country; North Shore</w:t>
            </w:r>
          </w:p>
        </w:tc>
      </w:tr>
      <w:tr>
        <w:trPr>
          <w:cantSplit/>
        </w:trPr>
        <w:tc>
          <w:tcPr>
            <w:tcW w:type="dxa" w:w="1700"/>
          </w:tcPr>
          <w:p>
            <w:pPr>
              <w:spacing w:after="0"/>
            </w:pPr>
            <w:r>
              <w:rPr>
                <w:rFonts w:ascii="Calibri" w:hAnsi="Calibri"/>
                <w:color w:val="122033"/>
                <w:sz w:val="19"/>
              </w:rPr>
              <w:t>Central</w:t>
            </w:r>
          </w:p>
        </w:tc>
        <w:tc>
          <w:tcPr>
            <w:tcW w:type="dxa" w:w="2200"/>
          </w:tcPr>
          <w:p>
            <w:pPr>
              <w:spacing w:after="0"/>
            </w:pPr>
            <w:r>
              <w:rPr>
                <w:rFonts w:ascii="Calibri" w:hAnsi="Calibri"/>
                <w:color w:val="122033"/>
                <w:sz w:val="19"/>
              </w:rPr>
              <w:t>Vicki R.</w:t>
            </w:r>
          </w:p>
        </w:tc>
        <w:tc>
          <w:tcPr>
            <w:tcW w:type="dxa" w:w="5460"/>
          </w:tcPr>
          <w:p>
            <w:pPr>
              <w:spacing w:after="0"/>
            </w:pPr>
            <w:r>
              <w:rPr>
                <w:rFonts w:ascii="Calibri" w:hAnsi="Calibri"/>
                <w:color w:val="122033"/>
                <w:sz w:val="19"/>
              </w:rPr>
              <w:t>Armadillo; Colorado River; Exploring; San Gabriel; Thunderbird</w:t>
            </w:r>
          </w:p>
        </w:tc>
      </w:tr>
      <w:tr>
        <w:trPr>
          <w:cantSplit/>
        </w:trPr>
        <w:tc>
          <w:tcPr>
            <w:tcW w:type="dxa" w:w="1700"/>
          </w:tcPr>
          <w:p>
            <w:pPr>
              <w:spacing w:after="0"/>
            </w:pPr>
            <w:r>
              <w:rPr>
                <w:rFonts w:ascii="Calibri" w:hAnsi="Calibri"/>
                <w:color w:val="122033"/>
                <w:sz w:val="19"/>
              </w:rPr>
              <w:t>Southern</w:t>
            </w:r>
          </w:p>
        </w:tc>
        <w:tc>
          <w:tcPr>
            <w:tcW w:type="dxa" w:w="2200"/>
          </w:tcPr>
          <w:p>
            <w:pPr>
              <w:spacing w:after="0"/>
            </w:pPr>
            <w:r>
              <w:rPr>
                <w:rFonts w:ascii="Calibri" w:hAnsi="Calibri"/>
                <w:color w:val="122033"/>
                <w:sz w:val="19"/>
              </w:rPr>
              <w:t>Ed G.</w:t>
            </w:r>
          </w:p>
        </w:tc>
        <w:tc>
          <w:tcPr>
            <w:tcW w:type="dxa" w:w="5460"/>
          </w:tcPr>
          <w:p>
            <w:pPr>
              <w:spacing w:after="0"/>
            </w:pPr>
            <w:r>
              <w:rPr>
                <w:rFonts w:ascii="Calibri" w:hAnsi="Calibri"/>
                <w:color w:val="122033"/>
                <w:sz w:val="19"/>
              </w:rPr>
              <w:t>Live Oak; Sacred Springs; Waterloo</w:t>
            </w:r>
          </w:p>
        </w:tc>
      </w:tr>
    </w:tbl>
    <w:p>
      <w:pPr>
        <w:spacing w:after="8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How monday.com rows are assigned</w:t>
            </w:r>
          </w:p>
          <w:p>
            <w:pPr>
              <w:spacing w:after="0"/>
            </w:pPr>
            <w:r>
              <w:rPr>
                <w:rFonts w:ascii="Calibri" w:hAnsi="Calibri"/>
                <w:color w:val="122033"/>
                <w:sz w:val="21"/>
              </w:rPr>
              <w:t>monday.com rows can contain multiple district labels. A row is attached to a Service Area when any listed official district belongs to that Service Area. Rows with only non-official or blank district labels remain outside official district and Service Area rollups.</w:t>
            </w:r>
          </w:p>
        </w:tc>
      </w:tr>
    </w:tbl>
    <w:p>
      <w:pPr>
        <w:spacing w:after="40"/>
      </w:pPr>
    </w:p>
    <w:p>
      <w:pPr>
        <w:pStyle w:val="Heading2"/>
      </w:pPr>
      <w:r>
        <w:t>Popcorn commitments hierarchy</w:t>
      </w:r>
    </w:p>
    <w:p>
      <w:pPr>
        <w:pStyle w:val="BodyText"/>
      </w:pPr>
      <w:r>
        <w:t>The Popcorn page uses one drill-down hierarchy: Service Area &gt; District &gt; Unit. Service Areas and Districts start collapsed. Expanding a Service Area reveals its District rollups; expanding a District reveals the corresponding unit follow-up rows inline.</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600"/>
        <w:gridCol w:w="6760"/>
      </w:tblGrid>
      <w:tr>
        <w:trPr>
          <w:cantSplit/>
          <w:tblHeader w:val="true"/>
        </w:trPr>
        <w:tc>
          <w:tcPr>
            <w:tcW w:type="dxa" w:w="2600"/>
            <w:tcMar>
              <w:top w:w="80" w:type="dxa"/>
              <w:start w:w="120" w:type="dxa"/>
              <w:bottom w:w="80" w:type="dxa"/>
              <w:end w:w="120" w:type="dxa"/>
            </w:tcMar>
            <w:vAlign w:val="center"/>
            <w:shd w:fill="E8EEF5"/>
          </w:tcPr>
          <w:p>
            <w:pPr>
              <w:spacing w:after="0"/>
            </w:pPr>
            <w:r>
              <w:rPr>
                <w:rFonts w:ascii="Calibri" w:hAnsi="Calibri"/>
                <w:b/>
                <w:color w:val="122033"/>
                <w:sz w:val="19"/>
              </w:rPr>
              <w:t>Popcorn measure</w:t>
            </w:r>
          </w:p>
        </w:tc>
        <w:tc>
          <w:tcPr>
            <w:tcW w:type="dxa" w:w="6760"/>
            <w:tcMar>
              <w:top w:w="80" w:type="dxa"/>
              <w:start w:w="120" w:type="dxa"/>
              <w:bottom w:w="80" w:type="dxa"/>
              <w:end w:w="120" w:type="dxa"/>
            </w:tcMar>
            <w:vAlign w:val="center"/>
            <w:shd w:fill="E8EEF5"/>
          </w:tcPr>
          <w:p>
            <w:pPr>
              <w:spacing w:after="0"/>
            </w:pPr>
            <w:r>
              <w:rPr>
                <w:rFonts w:ascii="Calibri" w:hAnsi="Calibri"/>
                <w:b/>
                <w:color w:val="122033"/>
                <w:sz w:val="19"/>
              </w:rPr>
              <w:t>How it is calculated or displayed</w:t>
            </w:r>
          </w:p>
        </w:tc>
      </w:tr>
      <w:tr>
        <w:trPr>
          <w:cantSplit/>
        </w:trPr>
        <w:tc>
          <w:tcPr>
            <w:tcW w:type="dxa" w:w="2600"/>
          </w:tcPr>
          <w:p>
            <w:pPr>
              <w:spacing w:after="0"/>
            </w:pPr>
            <w:r>
              <w:rPr>
                <w:rFonts w:ascii="Calibri" w:hAnsi="Calibri"/>
                <w:color w:val="122033"/>
                <w:sz w:val="19"/>
              </w:rPr>
              <w:t>Participation</w:t>
            </w:r>
          </w:p>
        </w:tc>
        <w:tc>
          <w:tcPr>
            <w:tcW w:type="dxa" w:w="6760"/>
          </w:tcPr>
          <w:p>
            <w:pPr>
              <w:spacing w:after="0"/>
            </w:pPr>
            <w:r>
              <w:rPr>
                <w:rFonts w:ascii="Calibri" w:hAnsi="Calibri"/>
                <w:color w:val="122033"/>
                <w:sz w:val="19"/>
              </w:rPr>
              <w:t>Committed unit rows divided by all unit rows in the selected population.</w:t>
            </w:r>
          </w:p>
        </w:tc>
      </w:tr>
      <w:tr>
        <w:trPr>
          <w:cantSplit/>
        </w:trPr>
        <w:tc>
          <w:tcPr>
            <w:tcW w:type="dxa" w:w="2600"/>
          </w:tcPr>
          <w:p>
            <w:pPr>
              <w:spacing w:after="0"/>
            </w:pPr>
            <w:r>
              <w:rPr>
                <w:rFonts w:ascii="Calibri" w:hAnsi="Calibri"/>
                <w:color w:val="122033"/>
                <w:sz w:val="19"/>
              </w:rPr>
              <w:t>Committed goal</w:t>
            </w:r>
          </w:p>
        </w:tc>
        <w:tc>
          <w:tcPr>
            <w:tcW w:type="dxa" w:w="6760"/>
          </w:tcPr>
          <w:p>
            <w:pPr>
              <w:spacing w:after="0"/>
            </w:pPr>
            <w:r>
              <w:rPr>
                <w:rFonts w:ascii="Calibri" w:hAnsi="Calibri"/>
                <w:color w:val="122033"/>
                <w:sz w:val="19"/>
              </w:rPr>
              <w:t>Sum of 2026 goal values for committed units only.</w:t>
            </w:r>
          </w:p>
        </w:tc>
      </w:tr>
      <w:tr>
        <w:trPr>
          <w:cantSplit/>
        </w:trPr>
        <w:tc>
          <w:tcPr>
            <w:tcW w:type="dxa" w:w="2600"/>
          </w:tcPr>
          <w:p>
            <w:pPr>
              <w:spacing w:after="0"/>
            </w:pPr>
            <w:r>
              <w:rPr>
                <w:rFonts w:ascii="Calibri" w:hAnsi="Calibri"/>
                <w:color w:val="122033"/>
                <w:sz w:val="19"/>
              </w:rPr>
              <w:t>Prior sales</w:t>
            </w:r>
          </w:p>
        </w:tc>
        <w:tc>
          <w:tcPr>
            <w:tcW w:type="dxa" w:w="6760"/>
          </w:tcPr>
          <w:p>
            <w:pPr>
              <w:spacing w:after="0"/>
            </w:pPr>
            <w:r>
              <w:rPr>
                <w:rFonts w:ascii="Calibri" w:hAnsi="Calibri"/>
                <w:color w:val="122033"/>
                <w:sz w:val="19"/>
              </w:rPr>
              <w:t>Sum of 2025 sales values for committed units only.</w:t>
            </w:r>
          </w:p>
        </w:tc>
      </w:tr>
      <w:tr>
        <w:trPr>
          <w:cantSplit/>
        </w:trPr>
        <w:tc>
          <w:tcPr>
            <w:tcW w:type="dxa" w:w="2600"/>
          </w:tcPr>
          <w:p>
            <w:pPr>
              <w:spacing w:after="0"/>
            </w:pPr>
            <w:r>
              <w:rPr>
                <w:rFonts w:ascii="Calibri" w:hAnsi="Calibri"/>
                <w:color w:val="122033"/>
                <w:sz w:val="19"/>
              </w:rPr>
              <w:t>Goal vs 2025</w:t>
            </w:r>
          </w:p>
        </w:tc>
        <w:tc>
          <w:tcPr>
            <w:tcW w:type="dxa" w:w="6760"/>
          </w:tcPr>
          <w:p>
            <w:pPr>
              <w:spacing w:after="0"/>
            </w:pPr>
            <w:r>
              <w:rPr>
                <w:rFonts w:ascii="Calibri" w:hAnsi="Calibri"/>
                <w:color w:val="122033"/>
                <w:sz w:val="19"/>
              </w:rPr>
              <w:t>Committed goal compared with prior sales for committed units.</w:t>
            </w:r>
          </w:p>
        </w:tc>
      </w:tr>
      <w:tr>
        <w:trPr>
          <w:cantSplit/>
        </w:trPr>
        <w:tc>
          <w:tcPr>
            <w:tcW w:type="dxa" w:w="2600"/>
          </w:tcPr>
          <w:p>
            <w:pPr>
              <w:spacing w:after="0"/>
            </w:pPr>
            <w:r>
              <w:rPr>
                <w:rFonts w:ascii="Calibri" w:hAnsi="Calibri"/>
                <w:color w:val="122033"/>
                <w:sz w:val="19"/>
              </w:rPr>
              <w:t>Onboarded</w:t>
            </w:r>
          </w:p>
        </w:tc>
        <w:tc>
          <w:tcPr>
            <w:tcW w:type="dxa" w:w="6760"/>
          </w:tcPr>
          <w:p>
            <w:pPr>
              <w:spacing w:after="0"/>
            </w:pPr>
            <w:r>
              <w:rPr>
                <w:rFonts w:ascii="Calibri" w:hAnsi="Calibri"/>
                <w:color w:val="122033"/>
                <w:sz w:val="19"/>
              </w:rPr>
              <w:t>Committed units whose onboarding progress is 11/11.</w:t>
            </w:r>
          </w:p>
        </w:tc>
      </w:tr>
      <w:tr>
        <w:trPr>
          <w:cantSplit/>
        </w:trPr>
        <w:tc>
          <w:tcPr>
            <w:tcW w:type="dxa" w:w="2600"/>
          </w:tcPr>
          <w:p>
            <w:pPr>
              <w:spacing w:after="0"/>
            </w:pPr>
            <w:r>
              <w:rPr>
                <w:rFonts w:ascii="Calibri" w:hAnsi="Calibri"/>
                <w:color w:val="122033"/>
                <w:sz w:val="19"/>
              </w:rPr>
              <w:t>Unit trained</w:t>
            </w:r>
          </w:p>
        </w:tc>
        <w:tc>
          <w:tcPr>
            <w:tcW w:type="dxa" w:w="6760"/>
          </w:tcPr>
          <w:p>
            <w:pPr>
              <w:spacing w:after="0"/>
            </w:pPr>
            <w:r>
              <w:rPr>
                <w:rFonts w:ascii="Calibri" w:hAnsi="Calibri"/>
                <w:color w:val="122033"/>
                <w:sz w:val="19"/>
              </w:rPr>
              <w:t>Committed units marked trained in the Popcorn source.</w:t>
            </w:r>
          </w:p>
        </w:tc>
      </w:tr>
      <w:tr>
        <w:trPr>
          <w:cantSplit/>
        </w:trPr>
        <w:tc>
          <w:tcPr>
            <w:tcW w:type="dxa" w:w="2600"/>
          </w:tcPr>
          <w:p>
            <w:pPr>
              <w:spacing w:after="0"/>
            </w:pPr>
            <w:r>
              <w:rPr>
                <w:rFonts w:ascii="Calibri" w:hAnsi="Calibri"/>
                <w:color w:val="122033"/>
                <w:sz w:val="19"/>
              </w:rPr>
              <w:t>Unit follow-up</w:t>
            </w:r>
          </w:p>
        </w:tc>
        <w:tc>
          <w:tcPr>
            <w:tcW w:type="dxa" w:w="6760"/>
          </w:tcPr>
          <w:p>
            <w:pPr>
              <w:spacing w:after="0"/>
            </w:pPr>
            <w:r>
              <w:rPr>
                <w:rFonts w:ascii="Calibri" w:hAnsi="Calibri"/>
                <w:color w:val="122033"/>
                <w:sz w:val="19"/>
              </w:rPr>
              <w:t>Commitment, goal, sales, onboarding, training, kernel, kickoff, and last-update context shown beneath the District.</w:t>
            </w:r>
          </w:p>
        </w:tc>
      </w:tr>
    </w:tbl>
    <w:p>
      <w:pPr>
        <w:spacing w:after="8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Public-data privacy</w:t>
            </w:r>
          </w:p>
          <w:p>
            <w:pPr>
              <w:spacing w:after="0"/>
            </w:pPr>
            <w:r>
              <w:rPr>
                <w:rFonts w:ascii="Calibri" w:hAnsi="Calibri"/>
                <w:color w:val="122033"/>
                <w:sz w:val="21"/>
              </w:rPr>
              <w:t>The published Popcorn rows intentionally exclude primary contact names, email addresses, and phone numbers. The normal scheduled source is the Popcorn Committments sheet in the daily monday.com workbook; the monday.com API is retained as a fallback.</w:t>
            </w:r>
          </w:p>
        </w:tc>
      </w:tr>
    </w:tbl>
    <w:p>
      <w:pPr>
        <w:spacing w:after="40"/>
      </w:pPr>
    </w:p>
    <w:p>
      <w:pPr>
        <w:pStyle w:val="Heading1"/>
      </w:pPr>
      <w:r>
        <w:t>8. TAY And Membership Opportunity</w:t>
      </w:r>
    </w:p>
    <w:p>
      <w:pPr>
        <w:pStyle w:val="BodyText"/>
      </w:pPr>
      <w:r>
        <w:t>TAY means Total Available Youth. It comes from the monday.com Schools export, not from the base Council dashboard workbook.</w:t>
      </w:r>
    </w:p>
    <w:p>
      <w:pPr>
        <w:pStyle w:val="ListBullet"/>
        <w:keepNext w:val="0"/>
        <w:keepLines w:val="0"/>
        <w:spacing w:before="20" w:after="80"/>
      </w:pPr>
      <w:r>
        <w:t>Council Youth / TAY uses raw school-row TAY once per school row.</w:t>
      </w:r>
    </w:p>
    <w:p>
      <w:pPr>
        <w:pStyle w:val="ListBullet"/>
        <w:keepNext w:val="0"/>
        <w:keepLines w:val="0"/>
        <w:spacing w:before="20" w:after="80"/>
      </w:pPr>
      <w:r>
        <w:t>District Youth / TAY attributes a school's full TAY to each official Scouting District listed for that school.</w:t>
      </w:r>
    </w:p>
    <w:p>
      <w:pPr>
        <w:pStyle w:val="ListBullet"/>
        <w:keepNext w:val="0"/>
        <w:keepLines w:val="0"/>
        <w:spacing w:before="20" w:after="80"/>
      </w:pPr>
      <w:r>
        <w:t>Program Youth / TAY uses actual youth from units of the selected type and estimates eligible TAY by allocating each school's total evenly across its published grade or age span.</w:t>
      </w:r>
    </w:p>
    <w:p>
      <w:pPr>
        <w:pStyle w:val="ListBullet"/>
        <w:keepNext w:val="0"/>
        <w:keepLines w:val="0"/>
        <w:spacing w:before="20" w:after="80"/>
      </w:pPr>
      <w:r>
        <w:t>Recruitment Pipeline shows Schools with Unit Affiliation / Total as verified current monday.com board relationships divided by all schools in the same TAY rollup. The daily refresh checks every exported school and does not interpret blank exported relation text as no affiliation.</w:t>
      </w:r>
    </w:p>
    <w:p>
      <w:pPr>
        <w:pStyle w:val="ListBullet"/>
        <w:keepNext w:val="0"/>
        <w:keepLines w:val="0"/>
        <w:spacing w:before="20" w:after="80"/>
      </w:pPr>
      <w:r>
        <w:t>This means district TAY context is useful for district comparison, but district TAY values should not be summed and treated as the council total.</w:t>
      </w:r>
    </w:p>
    <w:p>
      <w:pPr>
        <w:pStyle w:val="ListBullet"/>
        <w:keepNext w:val="0"/>
        <w:keepLines w:val="0"/>
        <w:spacing w:before="20" w:after="80"/>
      </w:pPr>
      <w:r>
        <w:t>Official district views exclude non-official labels such as Unassigned when comparing districts.</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600"/>
        <w:gridCol w:w="6760"/>
      </w:tblGrid>
      <w:tr>
        <w:trPr>
          <w:cantSplit/>
          <w:tblHeader w:val="true"/>
        </w:trPr>
        <w:tc>
          <w:tcPr>
            <w:tcW w:type="dxa" w:w="2600"/>
            <w:tcMar>
              <w:top w:w="80" w:type="dxa"/>
              <w:start w:w="120" w:type="dxa"/>
              <w:bottom w:w="80" w:type="dxa"/>
              <w:end w:w="120" w:type="dxa"/>
            </w:tcMar>
            <w:vAlign w:val="center"/>
            <w:shd w:fill="E8EEF5"/>
          </w:tcPr>
          <w:p>
            <w:pPr>
              <w:spacing w:after="0"/>
            </w:pPr>
            <w:r>
              <w:rPr>
                <w:rFonts w:ascii="Calibri" w:hAnsi="Calibri"/>
                <w:b/>
                <w:color w:val="122033"/>
                <w:sz w:val="19"/>
              </w:rPr>
              <w:t>Program view</w:t>
            </w:r>
          </w:p>
        </w:tc>
        <w:tc>
          <w:tcPr>
            <w:tcW w:type="dxa" w:w="6760"/>
            <w:tcMar>
              <w:top w:w="80" w:type="dxa"/>
              <w:start w:w="120" w:type="dxa"/>
              <w:bottom w:w="80" w:type="dxa"/>
              <w:end w:w="120" w:type="dxa"/>
            </w:tcMar>
            <w:vAlign w:val="center"/>
            <w:shd w:fill="E8EEF5"/>
          </w:tcPr>
          <w:p>
            <w:pPr>
              <w:spacing w:after="0"/>
            </w:pPr>
            <w:r>
              <w:rPr>
                <w:rFonts w:ascii="Calibri" w:hAnsi="Calibri"/>
                <w:b/>
                <w:color w:val="122033"/>
                <w:sz w:val="19"/>
              </w:rPr>
              <w:t>Published eligibility basis</w:t>
            </w:r>
          </w:p>
        </w:tc>
      </w:tr>
      <w:tr>
        <w:trPr>
          <w:cantSplit/>
        </w:trPr>
        <w:tc>
          <w:tcPr>
            <w:tcW w:type="dxa" w:w="2600"/>
          </w:tcPr>
          <w:p>
            <w:pPr>
              <w:spacing w:after="0"/>
            </w:pPr>
            <w:r>
              <w:rPr>
                <w:rFonts w:ascii="Calibri" w:hAnsi="Calibri"/>
                <w:color w:val="122033"/>
                <w:sz w:val="19"/>
              </w:rPr>
              <w:t>Packs</w:t>
            </w:r>
          </w:p>
        </w:tc>
        <w:tc>
          <w:tcPr>
            <w:tcW w:type="dxa" w:w="6760"/>
          </w:tcPr>
          <w:p>
            <w:pPr>
              <w:spacing w:after="0"/>
            </w:pPr>
            <w:r>
              <w:rPr>
                <w:rFonts w:ascii="Calibri" w:hAnsi="Calibri"/>
                <w:color w:val="122033"/>
                <w:sz w:val="19"/>
              </w:rPr>
              <w:t>Grades K-5 or ages 5-10</w:t>
            </w:r>
          </w:p>
        </w:tc>
      </w:tr>
      <w:tr>
        <w:trPr>
          <w:cantSplit/>
        </w:trPr>
        <w:tc>
          <w:tcPr>
            <w:tcW w:type="dxa" w:w="2600"/>
          </w:tcPr>
          <w:p>
            <w:pPr>
              <w:spacing w:after="0"/>
            </w:pPr>
            <w:r>
              <w:rPr>
                <w:rFonts w:ascii="Calibri" w:hAnsi="Calibri"/>
                <w:color w:val="122033"/>
                <w:sz w:val="19"/>
              </w:rPr>
              <w:t>Troops</w:t>
            </w:r>
          </w:p>
        </w:tc>
        <w:tc>
          <w:tcPr>
            <w:tcW w:type="dxa" w:w="6760"/>
          </w:tcPr>
          <w:p>
            <w:pPr>
              <w:spacing w:after="0"/>
            </w:pPr>
            <w:r>
              <w:rPr>
                <w:rFonts w:ascii="Calibri" w:hAnsi="Calibri"/>
                <w:color w:val="122033"/>
                <w:sz w:val="19"/>
              </w:rPr>
              <w:t>Grades 6-12 or ages 11-17</w:t>
            </w:r>
          </w:p>
        </w:tc>
      </w:tr>
      <w:tr>
        <w:trPr>
          <w:cantSplit/>
        </w:trPr>
        <w:tc>
          <w:tcPr>
            <w:tcW w:type="dxa" w:w="2600"/>
          </w:tcPr>
          <w:p>
            <w:pPr>
              <w:spacing w:after="0"/>
            </w:pPr>
            <w:r>
              <w:rPr>
                <w:rFonts w:ascii="Calibri" w:hAnsi="Calibri"/>
                <w:color w:val="122033"/>
                <w:sz w:val="19"/>
              </w:rPr>
              <w:t>Crews</w:t>
            </w:r>
          </w:p>
        </w:tc>
        <w:tc>
          <w:tcPr>
            <w:tcW w:type="dxa" w:w="6760"/>
          </w:tcPr>
          <w:p>
            <w:pPr>
              <w:spacing w:after="0"/>
            </w:pPr>
            <w:r>
              <w:rPr>
                <w:rFonts w:ascii="Calibri" w:hAnsi="Calibri"/>
                <w:color w:val="122033"/>
                <w:sz w:val="19"/>
              </w:rPr>
              <w:t>Grades 9-12 or ages 14-20</w:t>
            </w:r>
          </w:p>
        </w:tc>
      </w:tr>
      <w:tr>
        <w:trPr>
          <w:cantSplit/>
        </w:trPr>
        <w:tc>
          <w:tcPr>
            <w:tcW w:type="dxa" w:w="2600"/>
          </w:tcPr>
          <w:p>
            <w:pPr>
              <w:spacing w:after="0"/>
            </w:pPr>
            <w:r>
              <w:rPr>
                <w:rFonts w:ascii="Calibri" w:hAnsi="Calibri"/>
                <w:color w:val="122033"/>
                <w:sz w:val="19"/>
              </w:rPr>
              <w:t>Ships</w:t>
            </w:r>
          </w:p>
        </w:tc>
        <w:tc>
          <w:tcPr>
            <w:tcW w:type="dxa" w:w="6760"/>
          </w:tcPr>
          <w:p>
            <w:pPr>
              <w:spacing w:after="0"/>
            </w:pPr>
            <w:r>
              <w:rPr>
                <w:rFonts w:ascii="Calibri" w:hAnsi="Calibri"/>
                <w:color w:val="122033"/>
                <w:sz w:val="19"/>
              </w:rPr>
              <w:t>Grades 9-12 or ages 14-20</w:t>
            </w:r>
          </w:p>
        </w:tc>
      </w:tr>
      <w:tr>
        <w:trPr>
          <w:cantSplit/>
        </w:trPr>
        <w:tc>
          <w:tcPr>
            <w:tcW w:type="dxa" w:w="2600"/>
          </w:tcPr>
          <w:p>
            <w:pPr>
              <w:spacing w:after="0"/>
            </w:pPr>
            <w:r>
              <w:rPr>
                <w:rFonts w:ascii="Calibri" w:hAnsi="Calibri"/>
                <w:color w:val="122033"/>
                <w:sz w:val="19"/>
              </w:rPr>
              <w:t>Posts</w:t>
            </w:r>
          </w:p>
        </w:tc>
        <w:tc>
          <w:tcPr>
            <w:tcW w:type="dxa" w:w="6760"/>
          </w:tcPr>
          <w:p>
            <w:pPr>
              <w:spacing w:after="0"/>
            </w:pPr>
            <w:r>
              <w:rPr>
                <w:rFonts w:ascii="Calibri" w:hAnsi="Calibri"/>
                <w:color w:val="122033"/>
                <w:sz w:val="19"/>
              </w:rPr>
              <w:t>Grades 9-12 or ages 14-20</w:t>
            </w:r>
          </w:p>
        </w:tc>
      </w:tr>
    </w:tbl>
    <w:p>
      <w:pPr>
        <w:spacing w:after="8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Program TAY is an estimate</w:t>
            </w:r>
          </w:p>
          <w:p>
            <w:pPr>
              <w:spacing w:after="0"/>
            </w:pPr>
            <w:r>
              <w:rPr>
                <w:rFonts w:ascii="Calibri" w:hAnsi="Calibri"/>
                <w:color w:val="122033"/>
                <w:sz w:val="21"/>
              </w:rPr>
              <w:t>School sources do not publish enrollment by individual grade. The dashboard assumes even enrollment across each published span. Program populations overlap; fifth-grade and age-13 exceptions cannot be isolated; Exploring Clubs are not represented in Posts; and most school rows do not cover ages 18-20. Do not add program TAY estimates together.</w:t>
            </w:r>
          </w:p>
        </w:tc>
      </w:tr>
    </w:tbl>
    <w:p>
      <w:pPr>
        <w:spacing w:after="40"/>
      </w:pPr>
    </w:p>
    <w:p>
      <w:pPr>
        <w:pStyle w:val="Heading1"/>
      </w:pPr>
      <w:r>
        <w:t>9. Training And Safeguarding Logic</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800"/>
        <w:gridCol w:w="6560"/>
      </w:tblGrid>
      <w:tr>
        <w:trPr>
          <w:cantSplit/>
          <w:tblHeader w:val="true"/>
        </w:trPr>
        <w:tc>
          <w:tcPr>
            <w:tcW w:type="dxa" w:w="2800"/>
            <w:tcMar>
              <w:top w:w="80" w:type="dxa"/>
              <w:start w:w="120" w:type="dxa"/>
              <w:bottom w:w="80" w:type="dxa"/>
              <w:end w:w="120" w:type="dxa"/>
            </w:tcMar>
            <w:vAlign w:val="center"/>
            <w:shd w:fill="E8EEF5"/>
          </w:tcPr>
          <w:p>
            <w:pPr>
              <w:spacing w:after="0"/>
            </w:pPr>
            <w:r>
              <w:rPr>
                <w:rFonts w:ascii="Calibri" w:hAnsi="Calibri"/>
                <w:b/>
                <w:color w:val="122033"/>
                <w:sz w:val="19"/>
              </w:rPr>
              <w:t>Question</w:t>
            </w:r>
          </w:p>
        </w:tc>
        <w:tc>
          <w:tcPr>
            <w:tcW w:type="dxa" w:w="6560"/>
            <w:tcMar>
              <w:top w:w="80" w:type="dxa"/>
              <w:start w:w="120" w:type="dxa"/>
              <w:bottom w:w="80" w:type="dxa"/>
              <w:end w:w="120" w:type="dxa"/>
            </w:tcMar>
            <w:vAlign w:val="center"/>
            <w:shd w:fill="E8EEF5"/>
          </w:tcPr>
          <w:p>
            <w:pPr>
              <w:spacing w:after="0"/>
            </w:pPr>
            <w:r>
              <w:rPr>
                <w:rFonts w:ascii="Calibri" w:hAnsi="Calibri"/>
                <w:b/>
                <w:color w:val="122033"/>
                <w:sz w:val="19"/>
              </w:rPr>
              <w:t>How the dashboard answers it</w:t>
            </w:r>
          </w:p>
        </w:tc>
      </w:tr>
      <w:tr>
        <w:trPr>
          <w:cantSplit/>
        </w:trPr>
        <w:tc>
          <w:tcPr>
            <w:tcW w:type="dxa" w:w="2800"/>
          </w:tcPr>
          <w:p>
            <w:pPr>
              <w:spacing w:after="0"/>
            </w:pPr>
            <w:r>
              <w:rPr>
                <w:rFonts w:ascii="Calibri" w:hAnsi="Calibri"/>
                <w:color w:val="122033"/>
                <w:sz w:val="19"/>
              </w:rPr>
              <w:t>Who is direct-contact?</w:t>
            </w:r>
          </w:p>
        </w:tc>
        <w:tc>
          <w:tcPr>
            <w:tcW w:type="dxa" w:w="6560"/>
          </w:tcPr>
          <w:p>
            <w:pPr>
              <w:spacing w:after="0"/>
            </w:pPr>
            <w:r>
              <w:rPr>
                <w:rFonts w:ascii="Calibri" w:hAnsi="Calibri"/>
                <w:color w:val="122033"/>
                <w:sz w:val="19"/>
              </w:rPr>
              <w:t>The source workbook's Direct Contact column is converted from YES/NO to a boolean.</w:t>
            </w:r>
          </w:p>
        </w:tc>
      </w:tr>
      <w:tr>
        <w:trPr>
          <w:cantSplit/>
        </w:trPr>
        <w:tc>
          <w:tcPr>
            <w:tcW w:type="dxa" w:w="2800"/>
          </w:tcPr>
          <w:p>
            <w:pPr>
              <w:spacing w:after="0"/>
            </w:pPr>
            <w:r>
              <w:rPr>
                <w:rFonts w:ascii="Calibri" w:hAnsi="Calibri"/>
                <w:color w:val="122033"/>
                <w:sz w:val="19"/>
              </w:rPr>
              <w:t>Who is trained?</w:t>
            </w:r>
          </w:p>
        </w:tc>
        <w:tc>
          <w:tcPr>
            <w:tcW w:type="dxa" w:w="6560"/>
          </w:tcPr>
          <w:p>
            <w:pPr>
              <w:spacing w:after="0"/>
            </w:pPr>
            <w:r>
              <w:rPr>
                <w:rFonts w:ascii="Calibri" w:hAnsi="Calibri"/>
                <w:color w:val="122033"/>
                <w:sz w:val="19"/>
              </w:rPr>
              <w:t>The Training tab's Trained column is converted from YES/NO to a boolean.</w:t>
            </w:r>
          </w:p>
        </w:tc>
      </w:tr>
      <w:tr>
        <w:trPr>
          <w:cantSplit/>
        </w:trPr>
        <w:tc>
          <w:tcPr>
            <w:tcW w:type="dxa" w:w="2800"/>
          </w:tcPr>
          <w:p>
            <w:pPr>
              <w:spacing w:after="0"/>
            </w:pPr>
            <w:r>
              <w:rPr>
                <w:rFonts w:ascii="Calibri" w:hAnsi="Calibri"/>
                <w:color w:val="122033"/>
                <w:sz w:val="19"/>
              </w:rPr>
              <w:t>Is SYT current?</w:t>
            </w:r>
          </w:p>
        </w:tc>
        <w:tc>
          <w:tcPr>
            <w:tcW w:type="dxa" w:w="6560"/>
          </w:tcPr>
          <w:p>
            <w:pPr>
              <w:spacing w:after="0"/>
            </w:pPr>
            <w:r>
              <w:rPr>
                <w:rFonts w:ascii="Calibri" w:hAnsi="Calibri"/>
                <w:color w:val="122033"/>
                <w:sz w:val="19"/>
              </w:rPr>
              <w:t>SYT applies to all leaders. Missing or expired SYT is flagged for all leader rows, not only direct-contact rows.</w:t>
            </w:r>
          </w:p>
        </w:tc>
      </w:tr>
      <w:tr>
        <w:trPr>
          <w:cantSplit/>
        </w:trPr>
        <w:tc>
          <w:tcPr>
            <w:tcW w:type="dxa" w:w="2800"/>
          </w:tcPr>
          <w:p>
            <w:pPr>
              <w:spacing w:after="0"/>
            </w:pPr>
            <w:r>
              <w:rPr>
                <w:rFonts w:ascii="Calibri" w:hAnsi="Calibri"/>
                <w:color w:val="122033"/>
                <w:sz w:val="19"/>
              </w:rPr>
              <w:t>Is Hazardous Weather current?</w:t>
            </w:r>
          </w:p>
        </w:tc>
        <w:tc>
          <w:tcPr>
            <w:tcW w:type="dxa" w:w="6560"/>
          </w:tcPr>
          <w:p>
            <w:pPr>
              <w:spacing w:after="0"/>
            </w:pPr>
            <w:r>
              <w:rPr>
                <w:rFonts w:ascii="Calibri" w:hAnsi="Calibri"/>
                <w:color w:val="122033"/>
                <w:sz w:val="19"/>
              </w:rPr>
              <w:t>For direct-contact leaders, missing or expired Hazardous Weather is flagged.</w:t>
            </w:r>
          </w:p>
        </w:tc>
      </w:tr>
      <w:tr>
        <w:trPr>
          <w:cantSplit/>
        </w:trPr>
        <w:tc>
          <w:tcPr>
            <w:tcW w:type="dxa" w:w="2800"/>
          </w:tcPr>
          <w:p>
            <w:pPr>
              <w:spacing w:after="0"/>
            </w:pPr>
            <w:r>
              <w:rPr>
                <w:rFonts w:ascii="Calibri" w:hAnsi="Calibri"/>
                <w:color w:val="122033"/>
                <w:sz w:val="19"/>
              </w:rPr>
              <w:t>Is BALOO recorded?</w:t>
            </w:r>
          </w:p>
        </w:tc>
        <w:tc>
          <w:tcPr>
            <w:tcW w:type="dxa" w:w="6560"/>
          </w:tcPr>
          <w:p>
            <w:pPr>
              <w:spacing w:after="0"/>
            </w:pPr>
            <w:r>
              <w:rPr>
                <w:rFonts w:ascii="Calibri" w:hAnsi="Calibri"/>
                <w:color w:val="122033"/>
                <w:sz w:val="19"/>
              </w:rPr>
              <w:t>BALOO is shown as a person-level qualification for Pack leaders. Missing BALOO is not an individual issue; Pack-level depth is evaluated on Pack Camping Readiness.</w:t>
            </w:r>
          </w:p>
        </w:tc>
      </w:tr>
      <w:tr>
        <w:trPr>
          <w:cantSplit/>
        </w:trPr>
        <w:tc>
          <w:tcPr>
            <w:tcW w:type="dxa" w:w="2800"/>
          </w:tcPr>
          <w:p>
            <w:pPr>
              <w:spacing w:after="0"/>
            </w:pPr>
            <w:r>
              <w:rPr>
                <w:rFonts w:ascii="Calibri" w:hAnsi="Calibri"/>
                <w:color w:val="122033"/>
                <w:sz w:val="19"/>
              </w:rPr>
              <w:t>Is IOLS missing?</w:t>
            </w:r>
          </w:p>
        </w:tc>
        <w:tc>
          <w:tcPr>
            <w:tcW w:type="dxa" w:w="6560"/>
          </w:tcPr>
          <w:p>
            <w:pPr>
              <w:spacing w:after="0"/>
            </w:pPr>
            <w:r>
              <w:rPr>
                <w:rFonts w:ascii="Calibri" w:hAnsi="Calibri"/>
                <w:color w:val="122033"/>
                <w:sz w:val="19"/>
              </w:rPr>
              <w:t>Scoutmaster and Assistant Scoutmaster rows use explicit IOLS status when available and otherwise are flagged when mandatory code S11 remains present.</w:t>
            </w:r>
          </w:p>
        </w:tc>
      </w:tr>
      <w:tr>
        <w:trPr>
          <w:cantSplit/>
        </w:trPr>
        <w:tc>
          <w:tcPr>
            <w:tcW w:type="dxa" w:w="2800"/>
          </w:tcPr>
          <w:p>
            <w:pPr>
              <w:spacing w:after="0"/>
            </w:pPr>
            <w:r>
              <w:rPr>
                <w:rFonts w:ascii="Calibri" w:hAnsi="Calibri"/>
                <w:color w:val="122033"/>
                <w:sz w:val="19"/>
              </w:rPr>
              <w:t>What about all-leader views?</w:t>
            </w:r>
          </w:p>
        </w:tc>
        <w:tc>
          <w:tcPr>
            <w:tcW w:type="dxa" w:w="6560"/>
          </w:tcPr>
          <w:p>
            <w:pPr>
              <w:spacing w:after="0"/>
            </w:pPr>
            <w:r>
              <w:rPr>
                <w:rFonts w:ascii="Calibri" w:hAnsi="Calibri"/>
                <w:color w:val="122033"/>
                <w:sz w:val="19"/>
              </w:rPr>
              <w:t>Existing safety dates are shown for all rows. SYT issues apply to all leaders; Hazardous Weather and IOLS issues are evaluated where role and unit type make them applicable.</w:t>
            </w:r>
          </w:p>
        </w:tc>
      </w:tr>
    </w:tbl>
    <w:p>
      <w:pPr>
        <w:spacing w:after="80"/>
      </w:pPr>
    </w:p>
    <w:p>
      <w:pPr>
        <w:pStyle w:val="BodyText"/>
      </w:pPr>
      <w:r>
        <w:t>Training code names are looked up from the Training Codes tab so the SYT page can translate course codes into readable course names where possible.</w:t>
      </w:r>
    </w:p>
    <w:p>
      <w:pPr>
        <w:pStyle w:val="Heading2"/>
      </w:pPr>
      <w:r>
        <w:t>Camping readiness</w:t>
      </w:r>
    </w:p>
    <w:p>
      <w:pPr>
        <w:pStyle w:val="BodyText"/>
      </w:pPr>
      <w:r>
        <w:t>The Pack and Troop Camping Readiness pages group published Training-tab rows by District and unit. Their default tables include every reviewed unit. Leadership-depth Status can be filtered as Gap, Fragile, Preferred Depth, or Unknown, while Hazardous Weather is filtered separately as Current or Gap. The two filters can be combined with District, Sort, and Search. These pages are roster-readiness and training follow-up aids, not campout approvals, attendance rosters, or replacements for council and Guide to Safe Scouting requirements.</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3000"/>
        <w:gridCol w:w="6360"/>
      </w:tblGrid>
      <w:tr>
        <w:trPr>
          <w:cantSplit/>
          <w:tblHeader w:val="true"/>
        </w:trPr>
        <w:tc>
          <w:tcPr>
            <w:tcW w:type="dxa" w:w="3000"/>
            <w:tcMar>
              <w:top w:w="80" w:type="dxa"/>
              <w:start w:w="120" w:type="dxa"/>
              <w:bottom w:w="80" w:type="dxa"/>
              <w:end w:w="120" w:type="dxa"/>
            </w:tcMar>
            <w:vAlign w:val="center"/>
            <w:shd w:fill="E8EEF5"/>
          </w:tcPr>
          <w:p>
            <w:pPr>
              <w:spacing w:after="0"/>
            </w:pPr>
            <w:r>
              <w:rPr>
                <w:rFonts w:ascii="Calibri" w:hAnsi="Calibri"/>
                <w:b/>
                <w:color w:val="122033"/>
                <w:sz w:val="19"/>
              </w:rPr>
              <w:t>Readiness signal</w:t>
            </w:r>
          </w:p>
        </w:tc>
        <w:tc>
          <w:tcPr>
            <w:tcW w:type="dxa" w:w="6360"/>
            <w:tcMar>
              <w:top w:w="80" w:type="dxa"/>
              <w:start w:w="120" w:type="dxa"/>
              <w:bottom w:w="80" w:type="dxa"/>
              <w:end w:w="120" w:type="dxa"/>
            </w:tcMar>
            <w:vAlign w:val="center"/>
            <w:shd w:fill="E8EEF5"/>
          </w:tcPr>
          <w:p>
            <w:pPr>
              <w:spacing w:after="0"/>
            </w:pPr>
            <w:r>
              <w:rPr>
                <w:rFonts w:ascii="Calibri" w:hAnsi="Calibri"/>
                <w:b/>
                <w:color w:val="122033"/>
                <w:sz w:val="19"/>
              </w:rPr>
              <w:t>Current dashboard rule</w:t>
            </w:r>
          </w:p>
        </w:tc>
      </w:tr>
      <w:tr>
        <w:trPr>
          <w:cantSplit/>
        </w:trPr>
        <w:tc>
          <w:tcPr>
            <w:tcW w:type="dxa" w:w="3000"/>
          </w:tcPr>
          <w:p>
            <w:pPr>
              <w:spacing w:after="0"/>
            </w:pPr>
            <w:r>
              <w:rPr>
                <w:rFonts w:ascii="Calibri" w:hAnsi="Calibri"/>
                <w:color w:val="122033"/>
                <w:sz w:val="19"/>
              </w:rPr>
              <w:t>Pack BALOO depth</w:t>
            </w:r>
          </w:p>
        </w:tc>
        <w:tc>
          <w:tcPr>
            <w:tcW w:type="dxa" w:w="6360"/>
          </w:tcPr>
          <w:p>
            <w:pPr>
              <w:spacing w:after="0"/>
            </w:pPr>
            <w:r>
              <w:rPr>
                <w:rFonts w:ascii="Calibri" w:hAnsi="Calibri"/>
                <w:color w:val="122033"/>
                <w:sz w:val="19"/>
              </w:rPr>
              <w:t>Zero recorded BALOO-qualified leaders is Gap, one is Fragile, and two or more is Preferred Depth.</w:t>
            </w:r>
          </w:p>
        </w:tc>
      </w:tr>
      <w:tr>
        <w:trPr>
          <w:cantSplit/>
        </w:trPr>
        <w:tc>
          <w:tcPr>
            <w:tcW w:type="dxa" w:w="3000"/>
          </w:tcPr>
          <w:p>
            <w:pPr>
              <w:spacing w:after="0"/>
            </w:pPr>
            <w:r>
              <w:rPr>
                <w:rFonts w:ascii="Calibri" w:hAnsi="Calibri"/>
                <w:color w:val="122033"/>
                <w:sz w:val="19"/>
              </w:rPr>
              <w:t>Pack Hazardous Weather coverage</w:t>
            </w:r>
          </w:p>
        </w:tc>
        <w:tc>
          <w:tcPr>
            <w:tcW w:type="dxa" w:w="6360"/>
          </w:tcPr>
          <w:p>
            <w:pPr>
              <w:spacing w:after="0"/>
            </w:pPr>
            <w:r>
              <w:rPr>
                <w:rFonts w:ascii="Calibri" w:hAnsi="Calibri"/>
                <w:color w:val="122033"/>
                <w:sz w:val="19"/>
              </w:rPr>
              <w:t>At least one direct-contact Pack leader has a recognizable Hazardous Weather date on or after the published data generated date.</w:t>
            </w:r>
          </w:p>
        </w:tc>
      </w:tr>
      <w:tr>
        <w:trPr>
          <w:cantSplit/>
        </w:trPr>
        <w:tc>
          <w:tcPr>
            <w:tcW w:type="dxa" w:w="3000"/>
          </w:tcPr>
          <w:p>
            <w:pPr>
              <w:spacing w:after="0"/>
            </w:pPr>
            <w:r>
              <w:rPr>
                <w:rFonts w:ascii="Calibri" w:hAnsi="Calibri"/>
                <w:color w:val="122033"/>
                <w:sz w:val="19"/>
              </w:rPr>
              <w:t>Troop IOLS depth</w:t>
            </w:r>
          </w:p>
        </w:tc>
        <w:tc>
          <w:tcPr>
            <w:tcW w:type="dxa" w:w="6360"/>
          </w:tcPr>
          <w:p>
            <w:pPr>
              <w:spacing w:after="0"/>
            </w:pPr>
            <w:r>
              <w:rPr>
                <w:rFonts w:ascii="Calibri" w:hAnsi="Calibri"/>
                <w:color w:val="122033"/>
                <w:sz w:val="19"/>
              </w:rPr>
              <w:t>Counts IOLS-trained Scoutmasters and Assistant Scoutmasters as Gap, Fragile, or Preferred Depth. Explicit IOLS status controls when published; absence of mandatory code S11 is the fallback.</w:t>
            </w:r>
          </w:p>
        </w:tc>
      </w:tr>
      <w:tr>
        <w:trPr>
          <w:cantSplit/>
        </w:trPr>
        <w:tc>
          <w:tcPr>
            <w:tcW w:type="dxa" w:w="3000"/>
          </w:tcPr>
          <w:p>
            <w:pPr>
              <w:spacing w:after="0"/>
            </w:pPr>
            <w:r>
              <w:rPr>
                <w:rFonts w:ascii="Calibri" w:hAnsi="Calibri"/>
                <w:color w:val="122033"/>
                <w:sz w:val="19"/>
              </w:rPr>
              <w:t>Troop Hazardous Weather coverage</w:t>
            </w:r>
          </w:p>
        </w:tc>
        <w:tc>
          <w:tcPr>
            <w:tcW w:type="dxa" w:w="6360"/>
          </w:tcPr>
          <w:p>
            <w:pPr>
              <w:spacing w:after="0"/>
            </w:pPr>
            <w:r>
              <w:rPr>
                <w:rFonts w:ascii="Calibri" w:hAnsi="Calibri"/>
                <w:color w:val="122033"/>
                <w:sz w:val="19"/>
              </w:rPr>
              <w:t>At least one direct-contact Troop leader has a recognizable Hazardous Weather date on or after the published data generated date.</w:t>
            </w:r>
          </w:p>
        </w:tc>
      </w:tr>
      <w:tr>
        <w:trPr>
          <w:cantSplit/>
        </w:trPr>
        <w:tc>
          <w:tcPr>
            <w:tcW w:type="dxa" w:w="3000"/>
          </w:tcPr>
          <w:p>
            <w:pPr>
              <w:spacing w:after="0"/>
            </w:pPr>
            <w:r>
              <w:rPr>
                <w:rFonts w:ascii="Calibri" w:hAnsi="Calibri"/>
                <w:color w:val="122033"/>
                <w:sz w:val="19"/>
              </w:rPr>
              <w:t>Unknown</w:t>
            </w:r>
          </w:p>
        </w:tc>
        <w:tc>
          <w:tcPr>
            <w:tcW w:type="dxa" w:w="6360"/>
          </w:tcPr>
          <w:p>
            <w:pPr>
              <w:spacing w:after="0"/>
            </w:pPr>
            <w:r>
              <w:rPr>
                <w:rFonts w:ascii="Calibri" w:hAnsi="Calibri"/>
                <w:color w:val="122033"/>
                <w:sz w:val="19"/>
              </w:rPr>
              <w:t>The published Training-tab roster cannot support a leadership-depth classification for the unit. Unknown is not converted to Gap.</w:t>
            </w:r>
          </w:p>
        </w:tc>
      </w:tr>
      <w:tr>
        <w:trPr>
          <w:cantSplit/>
        </w:trPr>
        <w:tc>
          <w:tcPr>
            <w:tcW w:type="dxa" w:w="3000"/>
          </w:tcPr>
          <w:p>
            <w:pPr>
              <w:spacing w:after="0"/>
            </w:pPr>
            <w:r>
              <w:rPr>
                <w:rFonts w:ascii="Calibri" w:hAnsi="Calibri"/>
                <w:color w:val="122033"/>
                <w:sz w:val="19"/>
              </w:rPr>
              <w:t>Unit-Level Detail</w:t>
            </w:r>
          </w:p>
        </w:tc>
        <w:tc>
          <w:tcPr>
            <w:tcW w:type="dxa" w:w="6360"/>
          </w:tcPr>
          <w:p>
            <w:pPr>
              <w:spacing w:after="0"/>
            </w:pPr>
            <w:r>
              <w:rPr>
                <w:rFonts w:ascii="Calibri" w:hAnsi="Calibri"/>
                <w:color w:val="122033"/>
                <w:sz w:val="19"/>
              </w:rPr>
              <w:t>For Packs and Troops, the same status appears in the Camping Readiness KPI and Training Readiness row. A missing Training-tab unit match appears as Unknown; other unit types do not receive this KPI.</w:t>
            </w:r>
          </w:p>
        </w:tc>
      </w:tr>
    </w:tbl>
    <w:p>
      <w:pPr>
        <w:spacing w:after="8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Confirm the attending leaders</w:t>
            </w:r>
          </w:p>
          <w:p>
            <w:pPr>
              <w:spacing w:after="0"/>
            </w:pPr>
            <w:r>
              <w:rPr>
                <w:rFonts w:ascii="Calibri" w:hAnsi="Calibri"/>
                <w:color w:val="122033"/>
                <w:sz w:val="21"/>
              </w:rPr>
              <w:t>BALOO, IOLS, and Hazardous Weather status is evaluated from the published roster snapshot. Hazardous Weather is available only for direct-contact rows, and the pages do not know which leaders will attend a particular outing. Confirm the actual attending leadership before treating a flag as final.</w:t>
            </w:r>
          </w:p>
        </w:tc>
      </w:tr>
    </w:tbl>
    <w:p>
      <w:pPr>
        <w:spacing w:after="40"/>
      </w:pPr>
    </w:p>
    <w:p>
      <w:pPr>
        <w:pStyle w:val="Heading1"/>
      </w:pPr>
      <w:r>
        <w:t>10. Membership Intelligence Signals</w:t>
      </w:r>
    </w:p>
    <w:p>
      <w:pPr>
        <w:pStyle w:val="BodyText"/>
      </w:pPr>
      <w:r>
        <w:t>Membership Intelligence is a dashboard-created prioritization view. It combines source workbook membership and unit-health metrics with monday.com school, prospect, and renewal context.</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600"/>
        <w:gridCol w:w="6760"/>
      </w:tblGrid>
      <w:tr>
        <w:trPr>
          <w:cantSplit/>
          <w:tblHeader w:val="true"/>
        </w:trPr>
        <w:tc>
          <w:tcPr>
            <w:tcW w:type="dxa" w:w="2600"/>
            <w:tcMar>
              <w:top w:w="80" w:type="dxa"/>
              <w:start w:w="120" w:type="dxa"/>
              <w:bottom w:w="80" w:type="dxa"/>
              <w:end w:w="120" w:type="dxa"/>
            </w:tcMar>
            <w:vAlign w:val="center"/>
            <w:shd w:fill="E8EEF5"/>
          </w:tcPr>
          <w:p>
            <w:pPr>
              <w:spacing w:after="0"/>
            </w:pPr>
            <w:r>
              <w:rPr>
                <w:rFonts w:ascii="Calibri" w:hAnsi="Calibri"/>
                <w:b/>
                <w:color w:val="122033"/>
                <w:sz w:val="19"/>
              </w:rPr>
              <w:t>Signal input</w:t>
            </w:r>
          </w:p>
        </w:tc>
        <w:tc>
          <w:tcPr>
            <w:tcW w:type="dxa" w:w="6760"/>
            <w:tcMar>
              <w:top w:w="80" w:type="dxa"/>
              <w:start w:w="120" w:type="dxa"/>
              <w:bottom w:w="80" w:type="dxa"/>
              <w:end w:w="120" w:type="dxa"/>
            </w:tcMar>
            <w:vAlign w:val="center"/>
            <w:shd w:fill="E8EEF5"/>
          </w:tcPr>
          <w:p>
            <w:pPr>
              <w:spacing w:after="0"/>
            </w:pPr>
            <w:r>
              <w:rPr>
                <w:rFonts w:ascii="Calibri" w:hAnsi="Calibri"/>
                <w:b/>
                <w:color w:val="122033"/>
                <w:sz w:val="19"/>
              </w:rPr>
              <w:t>How it is counted</w:t>
            </w:r>
          </w:p>
        </w:tc>
      </w:tr>
      <w:tr>
        <w:trPr>
          <w:cantSplit/>
        </w:trPr>
        <w:tc>
          <w:tcPr>
            <w:tcW w:type="dxa" w:w="2600"/>
          </w:tcPr>
          <w:p>
            <w:pPr>
              <w:spacing w:after="0"/>
            </w:pPr>
            <w:r>
              <w:rPr>
                <w:rFonts w:ascii="Calibri" w:hAnsi="Calibri"/>
                <w:color w:val="122033"/>
                <w:sz w:val="19"/>
              </w:rPr>
              <w:t>Schools</w:t>
            </w:r>
          </w:p>
        </w:tc>
        <w:tc>
          <w:tcPr>
            <w:tcW w:type="dxa" w:w="6760"/>
          </w:tcPr>
          <w:p>
            <w:pPr>
              <w:spacing w:after="0"/>
            </w:pPr>
            <w:r>
              <w:rPr>
                <w:rFonts w:ascii="Calibri" w:hAnsi="Calibri"/>
                <w:color w:val="122033"/>
                <w:sz w:val="19"/>
              </w:rPr>
              <w:t>School rows whose Scouting District includes the district.</w:t>
            </w:r>
          </w:p>
        </w:tc>
      </w:tr>
      <w:tr>
        <w:trPr>
          <w:cantSplit/>
        </w:trPr>
        <w:tc>
          <w:tcPr>
            <w:tcW w:type="dxa" w:w="2600"/>
          </w:tcPr>
          <w:p>
            <w:pPr>
              <w:spacing w:after="0"/>
            </w:pPr>
            <w:r>
              <w:rPr>
                <w:rFonts w:ascii="Calibri" w:hAnsi="Calibri"/>
                <w:color w:val="122033"/>
                <w:sz w:val="19"/>
              </w:rPr>
              <w:t>TAY</w:t>
            </w:r>
          </w:p>
        </w:tc>
        <w:tc>
          <w:tcPr>
            <w:tcW w:type="dxa" w:w="6760"/>
          </w:tcPr>
          <w:p>
            <w:pPr>
              <w:spacing w:after="0"/>
            </w:pPr>
            <w:r>
              <w:rPr>
                <w:rFonts w:ascii="Calibri" w:hAnsi="Calibri"/>
                <w:color w:val="122033"/>
                <w:sz w:val="19"/>
              </w:rPr>
              <w:t>Council view sums attributed school TAY; program views sum the estimated grade/age-eligible portion.</w:t>
            </w:r>
          </w:p>
        </w:tc>
      </w:tr>
      <w:tr>
        <w:trPr>
          <w:cantSplit/>
        </w:trPr>
        <w:tc>
          <w:tcPr>
            <w:tcW w:type="dxa" w:w="2600"/>
          </w:tcPr>
          <w:p>
            <w:pPr>
              <w:spacing w:after="0"/>
            </w:pPr>
            <w:r>
              <w:rPr>
                <w:rFonts w:ascii="Calibri" w:hAnsi="Calibri"/>
                <w:color w:val="122033"/>
                <w:sz w:val="19"/>
              </w:rPr>
              <w:t>Schools without unit</w:t>
            </w:r>
          </w:p>
        </w:tc>
        <w:tc>
          <w:tcPr>
            <w:tcW w:type="dxa" w:w="6760"/>
          </w:tcPr>
          <w:p>
            <w:pPr>
              <w:spacing w:after="0"/>
            </w:pPr>
            <w:r>
              <w:rPr>
                <w:rFonts w:ascii="Calibri" w:hAnsi="Calibri"/>
                <w:color w:val="122033"/>
                <w:sz w:val="19"/>
              </w:rPr>
              <w:t>Council view uses blank Unit Associated; program views require an eligible school without an associated unit matching the selected program.</w:t>
            </w:r>
          </w:p>
        </w:tc>
      </w:tr>
      <w:tr>
        <w:trPr>
          <w:cantSplit/>
        </w:trPr>
        <w:tc>
          <w:tcPr>
            <w:tcW w:type="dxa" w:w="2600"/>
          </w:tcPr>
          <w:p>
            <w:pPr>
              <w:spacing w:after="0"/>
            </w:pPr>
            <w:r>
              <w:rPr>
                <w:rFonts w:ascii="Calibri" w:hAnsi="Calibri"/>
                <w:color w:val="122033"/>
                <w:sz w:val="19"/>
              </w:rPr>
              <w:t>Hot prospects</w:t>
            </w:r>
          </w:p>
        </w:tc>
        <w:tc>
          <w:tcPr>
            <w:tcW w:type="dxa" w:w="6760"/>
          </w:tcPr>
          <w:p>
            <w:pPr>
              <w:spacing w:after="0"/>
            </w:pPr>
            <w:r>
              <w:rPr>
                <w:rFonts w:ascii="Calibri" w:hAnsi="Calibri"/>
                <w:color w:val="122033"/>
                <w:sz w:val="19"/>
              </w:rPr>
              <w:t>Prospect rows whose District includes the district.</w:t>
            </w:r>
          </w:p>
        </w:tc>
      </w:tr>
      <w:tr>
        <w:trPr>
          <w:cantSplit/>
        </w:trPr>
        <w:tc>
          <w:tcPr>
            <w:tcW w:type="dxa" w:w="2600"/>
          </w:tcPr>
          <w:p>
            <w:pPr>
              <w:spacing w:after="0"/>
            </w:pPr>
            <w:r>
              <w:rPr>
                <w:rFonts w:ascii="Calibri" w:hAnsi="Calibri"/>
                <w:color w:val="122033"/>
                <w:sz w:val="19"/>
              </w:rPr>
              <w:t>Stuck prospects</w:t>
            </w:r>
          </w:p>
        </w:tc>
        <w:tc>
          <w:tcPr>
            <w:tcW w:type="dxa" w:w="6760"/>
          </w:tcPr>
          <w:p>
            <w:pPr>
              <w:spacing w:after="0"/>
            </w:pPr>
            <w:r>
              <w:rPr>
                <w:rFonts w:ascii="Calibri" w:hAnsi="Calibri"/>
                <w:color w:val="122033"/>
                <w:sz w:val="19"/>
              </w:rPr>
              <w:t>Prospect rows where Step 1 status is Stuck.</w:t>
            </w:r>
          </w:p>
        </w:tc>
      </w:tr>
      <w:tr>
        <w:trPr>
          <w:cantSplit/>
        </w:trPr>
        <w:tc>
          <w:tcPr>
            <w:tcW w:type="dxa" w:w="2600"/>
          </w:tcPr>
          <w:p>
            <w:pPr>
              <w:spacing w:after="0"/>
            </w:pPr>
            <w:r>
              <w:rPr>
                <w:rFonts w:ascii="Calibri" w:hAnsi="Calibri"/>
                <w:color w:val="122033"/>
                <w:sz w:val="19"/>
              </w:rPr>
              <w:t>Renewal follow-up</w:t>
            </w:r>
          </w:p>
        </w:tc>
        <w:tc>
          <w:tcPr>
            <w:tcW w:type="dxa" w:w="6760"/>
          </w:tcPr>
          <w:p>
            <w:pPr>
              <w:spacing w:after="0"/>
            </w:pPr>
            <w:r>
              <w:rPr>
                <w:rFonts w:ascii="Calibri" w:hAnsi="Calibri"/>
                <w:color w:val="122033"/>
                <w:sz w:val="19"/>
              </w:rPr>
              <w:t>Renewal rows where Posted is not Completed.</w:t>
            </w:r>
          </w:p>
        </w:tc>
      </w:tr>
    </w:tbl>
    <w:p>
      <w:pPr>
        <w:spacing w:after="8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Important interpretation</w:t>
            </w:r>
          </w:p>
          <w:p>
            <w:pPr>
              <w:spacing w:after="0"/>
            </w:pPr>
            <w:r>
              <w:rPr>
                <w:rFonts w:ascii="Calibri" w:hAnsi="Calibri"/>
                <w:color w:val="122033"/>
                <w:sz w:val="21"/>
              </w:rPr>
              <w:t>The Membership Intelligence priority score is not an official workbook metric. It is a dashboard sorting aid that highlights districts where low TAY penetration, membership decline, unit health risk, stuck prospects, and renewal follow-up overlap.</w:t>
            </w:r>
          </w:p>
        </w:tc>
      </w:tr>
    </w:tbl>
    <w:p>
      <w:pPr>
        <w:spacing w:after="40"/>
      </w:pPr>
    </w:p>
    <w:p>
      <w:pPr>
        <w:pStyle w:val="Heading1"/>
      </w:pPr>
      <w:r>
        <w:t>11. Commissioner Coverage</w:t>
      </w:r>
    </w:p>
    <w:p>
      <w:pPr>
        <w:pStyle w:val="BodyText"/>
      </w:pPr>
      <w:r>
        <w:t>Commissioner coverage comes from the Commissioners tab and assignment-related tabs in the Council dashboard workbook.</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600"/>
        <w:gridCol w:w="6760"/>
      </w:tblGrid>
      <w:tr>
        <w:trPr>
          <w:cantSplit/>
          <w:tblHeader w:val="true"/>
        </w:trPr>
        <w:tc>
          <w:tcPr>
            <w:tcW w:type="dxa" w:w="2600"/>
            <w:tcMar>
              <w:top w:w="80" w:type="dxa"/>
              <w:start w:w="120" w:type="dxa"/>
              <w:bottom w:w="80" w:type="dxa"/>
              <w:end w:w="120" w:type="dxa"/>
            </w:tcMar>
            <w:vAlign w:val="center"/>
            <w:shd w:fill="E8EEF5"/>
          </w:tcPr>
          <w:p>
            <w:pPr>
              <w:spacing w:after="0"/>
            </w:pPr>
            <w:r>
              <w:rPr>
                <w:rFonts w:ascii="Calibri" w:hAnsi="Calibri"/>
                <w:b/>
                <w:color w:val="122033"/>
                <w:sz w:val="19"/>
              </w:rPr>
              <w:t>Coverage value</w:t>
            </w:r>
          </w:p>
        </w:tc>
        <w:tc>
          <w:tcPr>
            <w:tcW w:type="dxa" w:w="6760"/>
            <w:tcMar>
              <w:top w:w="80" w:type="dxa"/>
              <w:start w:w="120" w:type="dxa"/>
              <w:bottom w:w="80" w:type="dxa"/>
              <w:end w:w="120" w:type="dxa"/>
            </w:tcMar>
            <w:vAlign w:val="center"/>
            <w:shd w:fill="E8EEF5"/>
          </w:tcPr>
          <w:p>
            <w:pPr>
              <w:spacing w:after="0"/>
            </w:pPr>
            <w:r>
              <w:rPr>
                <w:rFonts w:ascii="Calibri" w:hAnsi="Calibri"/>
                <w:b/>
                <w:color w:val="122033"/>
                <w:sz w:val="19"/>
              </w:rPr>
              <w:t>Calculation</w:t>
            </w:r>
          </w:p>
        </w:tc>
      </w:tr>
      <w:tr>
        <w:trPr>
          <w:cantSplit/>
        </w:trPr>
        <w:tc>
          <w:tcPr>
            <w:tcW w:type="dxa" w:w="2600"/>
          </w:tcPr>
          <w:p>
            <w:pPr>
              <w:spacing w:after="0"/>
            </w:pPr>
            <w:r>
              <w:rPr>
                <w:rFonts w:ascii="Calibri" w:hAnsi="Calibri"/>
                <w:color w:val="122033"/>
                <w:sz w:val="19"/>
              </w:rPr>
              <w:t>Registered commissioners</w:t>
            </w:r>
          </w:p>
        </w:tc>
        <w:tc>
          <w:tcPr>
            <w:tcW w:type="dxa" w:w="6760"/>
          </w:tcPr>
          <w:p>
            <w:pPr>
              <w:spacing w:after="0"/>
            </w:pPr>
            <w:r>
              <w:rPr>
                <w:rFonts w:ascii="Calibri" w:hAnsi="Calibri"/>
                <w:color w:val="122033"/>
                <w:sz w:val="19"/>
              </w:rPr>
              <w:t>Unique commissioner names from the Commissioners tab after whitespace and case normalization.</w:t>
            </w:r>
          </w:p>
        </w:tc>
      </w:tr>
      <w:tr>
        <w:trPr>
          <w:cantSplit/>
        </w:trPr>
        <w:tc>
          <w:tcPr>
            <w:tcW w:type="dxa" w:w="2600"/>
          </w:tcPr>
          <w:p>
            <w:pPr>
              <w:spacing w:after="0"/>
            </w:pPr>
            <w:r>
              <w:rPr>
                <w:rFonts w:ascii="Calibri" w:hAnsi="Calibri"/>
                <w:color w:val="122033"/>
                <w:sz w:val="19"/>
              </w:rPr>
              <w:t>Workbook commissioner records</w:t>
            </w:r>
          </w:p>
        </w:tc>
        <w:tc>
          <w:tcPr>
            <w:tcW w:type="dxa" w:w="6760"/>
          </w:tcPr>
          <w:p>
            <w:pPr>
              <w:spacing w:after="0"/>
            </w:pPr>
            <w:r>
              <w:rPr>
                <w:rFonts w:ascii="Calibri" w:hAnsi="Calibri"/>
                <w:color w:val="122033"/>
                <w:sz w:val="19"/>
              </w:rPr>
              <w:t>Raw rows in the Commissioners tab before deduplication.</w:t>
            </w:r>
          </w:p>
        </w:tc>
      </w:tr>
      <w:tr>
        <w:trPr>
          <w:cantSplit/>
        </w:trPr>
        <w:tc>
          <w:tcPr>
            <w:tcW w:type="dxa" w:w="2600"/>
          </w:tcPr>
          <w:p>
            <w:pPr>
              <w:spacing w:after="0"/>
            </w:pPr>
            <w:r>
              <w:rPr>
                <w:rFonts w:ascii="Calibri" w:hAnsi="Calibri"/>
                <w:color w:val="122033"/>
                <w:sz w:val="19"/>
              </w:rPr>
              <w:t>Duplicate commissioner records</w:t>
            </w:r>
          </w:p>
        </w:tc>
        <w:tc>
          <w:tcPr>
            <w:tcW w:type="dxa" w:w="6760"/>
          </w:tcPr>
          <w:p>
            <w:pPr>
              <w:spacing w:after="0"/>
            </w:pPr>
            <w:r>
              <w:rPr>
                <w:rFonts w:ascii="Calibri" w:hAnsi="Calibri"/>
                <w:color w:val="122033"/>
                <w:sz w:val="19"/>
              </w:rPr>
              <w:t>Workbook commissioner records minus unique commissioner names.</w:t>
            </w:r>
          </w:p>
        </w:tc>
      </w:tr>
      <w:tr>
        <w:trPr>
          <w:cantSplit/>
        </w:trPr>
        <w:tc>
          <w:tcPr>
            <w:tcW w:type="dxa" w:w="2600"/>
          </w:tcPr>
          <w:p>
            <w:pPr>
              <w:spacing w:after="0"/>
            </w:pPr>
            <w:r>
              <w:rPr>
                <w:rFonts w:ascii="Calibri" w:hAnsi="Calibri"/>
                <w:color w:val="122033"/>
                <w:sz w:val="19"/>
              </w:rPr>
              <w:t>Unit commissioners</w:t>
            </w:r>
          </w:p>
        </w:tc>
        <w:tc>
          <w:tcPr>
            <w:tcW w:type="dxa" w:w="6760"/>
          </w:tcPr>
          <w:p>
            <w:pPr>
              <w:spacing w:after="0"/>
            </w:pPr>
            <w:r>
              <w:rPr>
                <w:rFonts w:ascii="Calibri" w:hAnsi="Calibri"/>
                <w:color w:val="122033"/>
                <w:sz w:val="19"/>
              </w:rPr>
              <w:t>Unique people with at least one Unit Commissioner role, counted once even if the person appears multiple times.</w:t>
            </w:r>
          </w:p>
        </w:tc>
      </w:tr>
      <w:tr>
        <w:trPr>
          <w:cantSplit/>
        </w:trPr>
        <w:tc>
          <w:tcPr>
            <w:tcW w:type="dxa" w:w="2600"/>
          </w:tcPr>
          <w:p>
            <w:pPr>
              <w:spacing w:after="0"/>
            </w:pPr>
            <w:r>
              <w:rPr>
                <w:rFonts w:ascii="Calibri" w:hAnsi="Calibri"/>
                <w:color w:val="122033"/>
                <w:sz w:val="19"/>
              </w:rPr>
              <w:t>Commissioners trained</w:t>
            </w:r>
          </w:p>
        </w:tc>
        <w:tc>
          <w:tcPr>
            <w:tcW w:type="dxa" w:w="6760"/>
          </w:tcPr>
          <w:p>
            <w:pPr>
              <w:spacing w:after="0"/>
            </w:pPr>
            <w:r>
              <w:rPr>
                <w:rFonts w:ascii="Calibri" w:hAnsi="Calibri"/>
                <w:color w:val="122033"/>
                <w:sz w:val="19"/>
              </w:rPr>
              <w:t>Unique commissioners marked trained divided by unique commissioners where training status is known.</w:t>
            </w:r>
          </w:p>
        </w:tc>
      </w:tr>
      <w:tr>
        <w:trPr>
          <w:cantSplit/>
        </w:trPr>
        <w:tc>
          <w:tcPr>
            <w:tcW w:type="dxa" w:w="2600"/>
          </w:tcPr>
          <w:p>
            <w:pPr>
              <w:spacing w:after="0"/>
            </w:pPr>
            <w:r>
              <w:rPr>
                <w:rFonts w:ascii="Calibri" w:hAnsi="Calibri"/>
                <w:color w:val="122033"/>
                <w:sz w:val="19"/>
              </w:rPr>
              <w:t>With assignments</w:t>
            </w:r>
          </w:p>
        </w:tc>
        <w:tc>
          <w:tcPr>
            <w:tcW w:type="dxa" w:w="6760"/>
          </w:tcPr>
          <w:p>
            <w:pPr>
              <w:spacing w:after="0"/>
            </w:pPr>
            <w:r>
              <w:rPr>
                <w:rFonts w:ascii="Calibri" w:hAnsi="Calibri"/>
                <w:color w:val="122033"/>
                <w:sz w:val="19"/>
              </w:rPr>
              <w:t>Unique commissioners with assigned units divided by unique commissioners.</w:t>
            </w:r>
          </w:p>
        </w:tc>
      </w:tr>
      <w:tr>
        <w:trPr>
          <w:cantSplit/>
        </w:trPr>
        <w:tc>
          <w:tcPr>
            <w:tcW w:type="dxa" w:w="2600"/>
          </w:tcPr>
          <w:p>
            <w:pPr>
              <w:spacing w:after="0"/>
            </w:pPr>
            <w:r>
              <w:rPr>
                <w:rFonts w:ascii="Calibri" w:hAnsi="Calibri"/>
                <w:color w:val="122033"/>
                <w:sz w:val="19"/>
              </w:rPr>
              <w:t>Assigned units</w:t>
            </w:r>
          </w:p>
        </w:tc>
        <w:tc>
          <w:tcPr>
            <w:tcW w:type="dxa" w:w="6760"/>
          </w:tcPr>
          <w:p>
            <w:pPr>
              <w:spacing w:after="0"/>
            </w:pPr>
            <w:r>
              <w:rPr>
                <w:rFonts w:ascii="Calibri" w:hAnsi="Calibri"/>
                <w:color w:val="122033"/>
                <w:sz w:val="19"/>
              </w:rPr>
              <w:t>Rows in the Assigned tab where Assigned is yes.</w:t>
            </w:r>
          </w:p>
        </w:tc>
      </w:tr>
      <w:tr>
        <w:trPr>
          <w:cantSplit/>
        </w:trPr>
        <w:tc>
          <w:tcPr>
            <w:tcW w:type="dxa" w:w="2600"/>
          </w:tcPr>
          <w:p>
            <w:pPr>
              <w:spacing w:after="0"/>
            </w:pPr>
            <w:r>
              <w:rPr>
                <w:rFonts w:ascii="Calibri" w:hAnsi="Calibri"/>
                <w:color w:val="122033"/>
                <w:sz w:val="19"/>
              </w:rPr>
              <w:t>Connections (12 Mo.)</w:t>
            </w:r>
          </w:p>
        </w:tc>
        <w:tc>
          <w:tcPr>
            <w:tcW w:type="dxa" w:w="6760"/>
          </w:tcPr>
          <w:p>
            <w:pPr>
              <w:spacing w:after="0"/>
            </w:pPr>
            <w:r>
              <w:rPr>
                <w:rFonts w:ascii="Calibri" w:hAnsi="Calibri"/>
                <w:color w:val="122033"/>
                <w:sz w:val="19"/>
              </w:rPr>
              <w:t>Completed Commissioner Connection History records in the 365 days ending on the report date. Each completed connection counts once as a unit visit; rows outside the official districts, incomplete rows, and rows outside the window are excluded.</w:t>
            </w:r>
          </w:p>
        </w:tc>
      </w:tr>
    </w:tbl>
    <w:p>
      <w:pPr>
        <w:spacing w:after="80"/>
      </w:pPr>
    </w:p>
    <w:p>
      <w:pPr>
        <w:pStyle w:val="Heading1"/>
      </w:pPr>
      <w:r>
        <w:t>12. Practical Caveats</w:t>
      </w: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Freshness and source structure</w:t>
            </w:r>
          </w:p>
          <w:p>
            <w:pPr>
              <w:spacing w:after="0"/>
            </w:pPr>
            <w:r>
              <w:rPr>
                <w:rFonts w:ascii="Calibri" w:hAnsi="Calibri"/>
                <w:color w:val="122033"/>
                <w:sz w:val="21"/>
              </w:rPr>
              <w:t>The dashboard is only as current as the most recent successful refresh and GitHub Pages deployment. Freshness times display in the viewer's local timezone. Workbook labels and sheet names matter; a source-structure change can require a code update. The website's ? controls give quick panel context, while the Markdown data dictionary remains the exact formula reference.</w:t>
            </w:r>
          </w:p>
        </w:tc>
      </w:tr>
    </w:tbl>
    <w:p>
      <w:pPr>
        <w:spacing w:after="4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Training and camping readiness</w:t>
            </w:r>
          </w:p>
          <w:p>
            <w:pPr>
              <w:spacing w:after="0"/>
            </w:pPr>
            <w:r>
              <w:rPr>
                <w:rFonts w:ascii="Calibri" w:hAnsi="Calibri"/>
                <w:color w:val="122033"/>
                <w:sz w:val="21"/>
              </w:rPr>
              <w:t>Training and SYT expiration checks use the viewer browser's current date. SYT applies to all leaders; Hazardous Weather, BALOO, and IOLS flags apply where role and unit type make them relevant. Pack and Troop Camping Readiness uses the published roster snapshot and does not confirm campout attendance or approval.</w:t>
            </w:r>
          </w:p>
        </w:tc>
      </w:tr>
    </w:tbl>
    <w:p>
      <w:pPr>
        <w:spacing w:after="4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Service Area, TAY, and Popcorn interpretation</w:t>
            </w:r>
          </w:p>
          <w:p>
            <w:pPr>
              <w:spacing w:after="0"/>
            </w:pPr>
            <w:r>
              <w:rPr>
                <w:rFonts w:ascii="Calibri" w:hAnsi="Calibri"/>
                <w:color w:val="122033"/>
                <w:sz w:val="21"/>
              </w:rPr>
              <w:t>Official district charts exclude non-official monday.com labels. Service Area filters and district leadership use the run-specific Service Areas capture rather than workbook columns. Program TAY values are overlapping estimates and must not be added together. Popcorn participation counts all published unit rows in the denominator and only Committed rows in the numerator.</w:t>
            </w:r>
          </w:p>
        </w:tc>
      </w:tr>
    </w:tbl>
    <w:p>
      <w:pPr>
        <w:spacing w:after="40"/>
      </w:pPr>
    </w:p>
    <w:tbl>
      <w:tblPr>
        <w:tblW w:type="dxa" w:w="9360"/>
        <w:jc w:val="left"/>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Public-data privacy</w:t>
            </w:r>
          </w:p>
          <w:p>
            <w:pPr>
              <w:spacing w:after="0"/>
            </w:pPr>
            <w:r>
              <w:rPr>
                <w:rFonts w:ascii="Calibri" w:hAnsi="Calibri"/>
                <w:color w:val="122033"/>
                <w:sz w:val="21"/>
              </w:rPr>
              <w:t>Popcorn contacts are excluded from public JSON. Across the Council Summary and Commissioner outputs, person names display as first name plus last initial, and publication stops if a covered full name remains.</w:t>
            </w:r>
          </w:p>
        </w:tc>
      </w:tr>
    </w:tbl>
    <w:p>
      <w:pPr>
        <w:spacing w:after="40"/>
      </w:pPr>
    </w:p>
    <w:p>
      <w:pPr>
        <w:pStyle w:val="Heading1"/>
      </w:pPr>
      <w:r>
        <w:t>Appendix: Quick Formula Reference</w:t>
      </w:r>
    </w:p>
    <w:tbl>
      <w:tblPr>
        <w:tblW w:type="dxa" w:w="9360"/>
        <w:jc w:val="left"/>
        <w:tblLook w:firstColumn="1" w:firstRow="1" w:lastColumn="0" w:lastRow="0" w:noHBand="0" w:noVBand="1" w:val="04A0"/>
        <w:tblInd w:w="120" w:type="dxa"/>
        <w:tblBorders>
          <w:top w:val="single" w:sz="6" w:space="0" w:color="CAD6E2"/>
          <w:left w:val="single" w:sz="6" w:space="0" w:color="CAD6E2"/>
          <w:bottom w:val="single" w:sz="6" w:space="0" w:color="CAD6E2"/>
          <w:right w:val="single" w:sz="6" w:space="0" w:color="CAD6E2"/>
          <w:insideH w:val="single" w:sz="6" w:space="0" w:color="CAD6E2"/>
          <w:insideV w:val="single" w:sz="6" w:space="0" w:color="CAD6E2"/>
        </w:tblBorders>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spacing w:after="0"/>
            </w:pPr>
            <w:r>
              <w:rPr>
                <w:rFonts w:ascii="Calibri" w:hAnsi="Calibri"/>
                <w:b/>
                <w:color w:val="122033"/>
                <w:sz w:val="19"/>
              </w:rPr>
              <w:t>Metric</w:t>
            </w:r>
          </w:p>
        </w:tc>
        <w:tc>
          <w:tcPr>
            <w:tcW w:type="dxa" w:w="6660"/>
            <w:tcMar>
              <w:top w:w="80" w:type="dxa"/>
              <w:start w:w="120" w:type="dxa"/>
              <w:bottom w:w="80" w:type="dxa"/>
              <w:end w:w="120" w:type="dxa"/>
            </w:tcMar>
            <w:vAlign w:val="center"/>
            <w:shd w:fill="E8EEF5"/>
          </w:tcPr>
          <w:p>
            <w:pPr>
              <w:spacing w:after="0"/>
            </w:pPr>
            <w:r>
              <w:rPr>
                <w:rFonts w:ascii="Calibri" w:hAnsi="Calibri"/>
                <w:b/>
                <w:color w:val="122033"/>
                <w:sz w:val="19"/>
              </w:rPr>
              <w:t>Formula</w:t>
            </w:r>
          </w:p>
        </w:tc>
      </w:tr>
      <w:tr>
        <w:trPr>
          <w:cantSplit/>
        </w:trPr>
        <w:tc>
          <w:tcPr>
            <w:tcW w:type="dxa" w:w="2700"/>
          </w:tcPr>
          <w:p>
            <w:pPr>
              <w:spacing w:after="0"/>
            </w:pPr>
            <w:r>
              <w:rPr>
                <w:rFonts w:ascii="Calibri" w:hAnsi="Calibri"/>
                <w:color w:val="122033"/>
                <w:sz w:val="19"/>
              </w:rPr>
              <w:t>YoY %</w:t>
            </w:r>
          </w:p>
        </w:tc>
        <w:tc>
          <w:tcPr>
            <w:tcW w:type="dxa" w:w="6660"/>
          </w:tcPr>
          <w:p>
            <w:pPr>
              <w:spacing w:after="0"/>
            </w:pPr>
            <w:r>
              <w:rPr>
                <w:rFonts w:ascii="Calibri" w:hAnsi="Calibri"/>
                <w:color w:val="122033"/>
                <w:sz w:val="19"/>
              </w:rPr>
              <w:t>YoY delta divided by same-month-last-year membership.</w:t>
            </w:r>
          </w:p>
        </w:tc>
      </w:tr>
      <w:tr>
        <w:trPr>
          <w:cantSplit/>
        </w:trPr>
        <w:tc>
          <w:tcPr>
            <w:tcW w:type="dxa" w:w="2700"/>
          </w:tcPr>
          <w:p>
            <w:pPr>
              <w:spacing w:after="0"/>
            </w:pPr>
            <w:r>
              <w:rPr>
                <w:rFonts w:ascii="Calibri" w:hAnsi="Calibri"/>
                <w:color w:val="122033"/>
                <w:sz w:val="19"/>
              </w:rPr>
              <w:t>At-risk rate</w:t>
            </w:r>
          </w:p>
        </w:tc>
        <w:tc>
          <w:tcPr>
            <w:tcW w:type="dxa" w:w="6660"/>
          </w:tcPr>
          <w:p>
            <w:pPr>
              <w:spacing w:after="0"/>
            </w:pPr>
            <w:r>
              <w:rPr>
                <w:rFonts w:ascii="Calibri" w:hAnsi="Calibri"/>
                <w:color w:val="122033"/>
                <w:sz w:val="19"/>
              </w:rPr>
              <w:t>Units with Unit Metric 0-2 divided by total units.</w:t>
            </w:r>
          </w:p>
        </w:tc>
      </w:tr>
      <w:tr>
        <w:trPr>
          <w:cantSplit/>
        </w:trPr>
        <w:tc>
          <w:tcPr>
            <w:tcW w:type="dxa" w:w="2700"/>
          </w:tcPr>
          <w:p>
            <w:pPr>
              <w:spacing w:after="0"/>
            </w:pPr>
            <w:r>
              <w:rPr>
                <w:rFonts w:ascii="Calibri" w:hAnsi="Calibri"/>
                <w:color w:val="122033"/>
                <w:sz w:val="19"/>
              </w:rPr>
              <w:t>Healthy rate</w:t>
            </w:r>
          </w:p>
        </w:tc>
        <w:tc>
          <w:tcPr>
            <w:tcW w:type="dxa" w:w="6660"/>
          </w:tcPr>
          <w:p>
            <w:pPr>
              <w:spacing w:after="0"/>
            </w:pPr>
            <w:r>
              <w:rPr>
                <w:rFonts w:ascii="Calibri" w:hAnsi="Calibri"/>
                <w:color w:val="122033"/>
                <w:sz w:val="19"/>
              </w:rPr>
              <w:t>Units with Unit Metric 4-5 divided by total units.</w:t>
            </w:r>
          </w:p>
        </w:tc>
      </w:tr>
      <w:tr>
        <w:trPr>
          <w:cantSplit/>
        </w:trPr>
        <w:tc>
          <w:tcPr>
            <w:tcW w:type="dxa" w:w="2700"/>
          </w:tcPr>
          <w:p>
            <w:pPr>
              <w:spacing w:after="0"/>
            </w:pPr>
            <w:r>
              <w:rPr>
                <w:rFonts w:ascii="Calibri" w:hAnsi="Calibri"/>
                <w:color w:val="122033"/>
                <w:sz w:val="19"/>
              </w:rPr>
              <w:t>Assigned %</w:t>
            </w:r>
          </w:p>
        </w:tc>
        <w:tc>
          <w:tcPr>
            <w:tcW w:type="dxa" w:w="6660"/>
          </w:tcPr>
          <w:p>
            <w:pPr>
              <w:spacing w:after="0"/>
            </w:pPr>
            <w:r>
              <w:rPr>
                <w:rFonts w:ascii="Calibri" w:hAnsi="Calibri"/>
                <w:color w:val="122033"/>
                <w:sz w:val="19"/>
              </w:rPr>
              <w:t>Assigned units divided by total units.</w:t>
            </w:r>
          </w:p>
        </w:tc>
      </w:tr>
      <w:tr>
        <w:trPr>
          <w:cantSplit/>
        </w:trPr>
        <w:tc>
          <w:tcPr>
            <w:tcW w:type="dxa" w:w="2700"/>
          </w:tcPr>
          <w:p>
            <w:pPr>
              <w:spacing w:after="0"/>
            </w:pPr>
            <w:r>
              <w:rPr>
                <w:rFonts w:ascii="Calibri" w:hAnsi="Calibri"/>
                <w:color w:val="122033"/>
                <w:sz w:val="19"/>
              </w:rPr>
              <w:t>Council training %</w:t>
            </w:r>
          </w:p>
        </w:tc>
        <w:tc>
          <w:tcPr>
            <w:tcW w:type="dxa" w:w="6660"/>
          </w:tcPr>
          <w:p>
            <w:pPr>
              <w:spacing w:after="0"/>
            </w:pPr>
            <w:r>
              <w:rPr>
                <w:rFonts w:ascii="Calibri" w:hAnsi="Calibri"/>
                <w:color w:val="122033"/>
                <w:sz w:val="19"/>
              </w:rPr>
              <w:t>District training rates weighted by district units.</w:t>
            </w:r>
          </w:p>
        </w:tc>
      </w:tr>
      <w:tr>
        <w:trPr>
          <w:cantSplit/>
        </w:trPr>
        <w:tc>
          <w:tcPr>
            <w:tcW w:type="dxa" w:w="2700"/>
          </w:tcPr>
          <w:p>
            <w:pPr>
              <w:spacing w:after="0"/>
            </w:pPr>
            <w:r>
              <w:rPr>
                <w:rFonts w:ascii="Calibri" w:hAnsi="Calibri"/>
                <w:color w:val="122033"/>
                <w:sz w:val="19"/>
              </w:rPr>
              <w:t>Volunteers</w:t>
            </w:r>
          </w:p>
        </w:tc>
        <w:tc>
          <w:tcPr>
            <w:tcW w:type="dxa" w:w="6660"/>
          </w:tcPr>
          <w:p>
            <w:pPr>
              <w:spacing w:after="0"/>
            </w:pPr>
            <w:r>
              <w:rPr>
                <w:rFonts w:ascii="Calibri" w:hAnsi="Calibri"/>
                <w:color w:val="122033"/>
                <w:sz w:val="19"/>
              </w:rPr>
              <w:t>Count of unique nonblank Training roster Member IDs, published by the source workbook on the Membership tab.</w:t>
            </w:r>
          </w:p>
        </w:tc>
      </w:tr>
      <w:tr>
        <w:trPr>
          <w:cantSplit/>
        </w:trPr>
        <w:tc>
          <w:tcPr>
            <w:tcW w:type="dxa" w:w="2700"/>
          </w:tcPr>
          <w:p>
            <w:pPr>
              <w:spacing w:after="0"/>
            </w:pPr>
            <w:r>
              <w:rPr>
                <w:rFonts w:ascii="Calibri" w:hAnsi="Calibri"/>
                <w:color w:val="122033"/>
                <w:sz w:val="19"/>
              </w:rPr>
              <w:t>Council SYT %</w:t>
            </w:r>
          </w:p>
        </w:tc>
        <w:tc>
          <w:tcPr>
            <w:tcW w:type="dxa" w:w="6660"/>
          </w:tcPr>
          <w:p>
            <w:pPr>
              <w:spacing w:after="0"/>
            </w:pPr>
            <w:r>
              <w:rPr>
                <w:rFonts w:ascii="Calibri" w:hAnsi="Calibri"/>
                <w:color w:val="122033"/>
                <w:sz w:val="19"/>
              </w:rPr>
              <w:t>District SYT rates weighted by district members.</w:t>
            </w:r>
          </w:p>
        </w:tc>
      </w:tr>
      <w:tr>
        <w:trPr>
          <w:cantSplit/>
        </w:trPr>
        <w:tc>
          <w:tcPr>
            <w:tcW w:type="dxa" w:w="2700"/>
          </w:tcPr>
          <w:p>
            <w:pPr>
              <w:spacing w:after="0"/>
            </w:pPr>
            <w:r>
              <w:rPr>
                <w:rFonts w:ascii="Calibri" w:hAnsi="Calibri"/>
                <w:color w:val="122033"/>
                <w:sz w:val="19"/>
              </w:rPr>
              <w:t>Council Youth / TAY</w:t>
            </w:r>
          </w:p>
        </w:tc>
        <w:tc>
          <w:tcPr>
            <w:tcW w:type="dxa" w:w="6660"/>
          </w:tcPr>
          <w:p>
            <w:pPr>
              <w:spacing w:after="0"/>
            </w:pPr>
            <w:r>
              <w:rPr>
                <w:rFonts w:ascii="Calibri" w:hAnsi="Calibri"/>
                <w:color w:val="122033"/>
                <w:sz w:val="19"/>
              </w:rPr>
              <w:t>Council youth divided by raw school-row TAY total.</w:t>
            </w:r>
          </w:p>
        </w:tc>
      </w:tr>
      <w:tr>
        <w:trPr>
          <w:cantSplit/>
        </w:trPr>
        <w:tc>
          <w:tcPr>
            <w:tcW w:type="dxa" w:w="2700"/>
          </w:tcPr>
          <w:p>
            <w:pPr>
              <w:spacing w:after="0"/>
            </w:pPr>
            <w:r>
              <w:rPr>
                <w:rFonts w:ascii="Calibri" w:hAnsi="Calibri"/>
                <w:color w:val="122033"/>
                <w:sz w:val="19"/>
              </w:rPr>
              <w:t>District Youth / TAY</w:t>
            </w:r>
          </w:p>
        </w:tc>
        <w:tc>
          <w:tcPr>
            <w:tcW w:type="dxa" w:w="6660"/>
          </w:tcPr>
          <w:p>
            <w:pPr>
              <w:spacing w:after="0"/>
            </w:pPr>
            <w:r>
              <w:rPr>
                <w:rFonts w:ascii="Calibri" w:hAnsi="Calibri"/>
                <w:color w:val="122033"/>
                <w:sz w:val="19"/>
              </w:rPr>
              <w:t>District youth divided by school TAY attributed to that district.</w:t>
            </w:r>
          </w:p>
        </w:tc>
      </w:tr>
      <w:tr>
        <w:trPr>
          <w:cantSplit/>
        </w:trPr>
        <w:tc>
          <w:tcPr>
            <w:tcW w:type="dxa" w:w="2700"/>
          </w:tcPr>
          <w:p>
            <w:pPr>
              <w:spacing w:after="0"/>
            </w:pPr>
            <w:r>
              <w:rPr>
                <w:rFonts w:ascii="Calibri" w:hAnsi="Calibri"/>
                <w:color w:val="122033"/>
                <w:sz w:val="19"/>
              </w:rPr>
              <w:t>Program Youth / TAY</w:t>
            </w:r>
          </w:p>
        </w:tc>
        <w:tc>
          <w:tcPr>
            <w:tcW w:type="dxa" w:w="6660"/>
          </w:tcPr>
          <w:p>
            <w:pPr>
              <w:spacing w:after="0"/>
            </w:pPr>
            <w:r>
              <w:rPr>
                <w:rFonts w:ascii="Calibri" w:hAnsi="Calibri"/>
                <w:color w:val="122033"/>
                <w:sz w:val="19"/>
              </w:rPr>
              <w:t>Actual youth from units of the selected program divided by estimated grade/age-eligible school TAY.</w:t>
            </w:r>
          </w:p>
        </w:tc>
      </w:tr>
      <w:tr>
        <w:trPr>
          <w:cantSplit/>
        </w:trPr>
        <w:tc>
          <w:tcPr>
            <w:tcW w:type="dxa" w:w="2700"/>
          </w:tcPr>
          <w:p>
            <w:pPr>
              <w:spacing w:after="0"/>
            </w:pPr>
            <w:r>
              <w:rPr>
                <w:rFonts w:ascii="Calibri" w:hAnsi="Calibri"/>
                <w:color w:val="122033"/>
                <w:sz w:val="19"/>
              </w:rPr>
              <w:t>Retention</w:t>
            </w:r>
          </w:p>
        </w:tc>
        <w:tc>
          <w:tcPr>
            <w:tcW w:type="dxa" w:w="6660"/>
          </w:tcPr>
          <w:p>
            <w:pPr>
              <w:spacing w:after="0"/>
            </w:pPr>
            <w:r>
              <w:rPr>
                <w:rFonts w:ascii="Calibri" w:hAnsi="Calibri"/>
                <w:color w:val="122033"/>
                <w:sz w:val="19"/>
              </w:rPr>
              <w:t>(Current members - members new in the prior 12 months) divided by same-month prior-year members; results above 100% are valid, and displayed values round to the nearest whole percent.</w:t>
            </w:r>
          </w:p>
        </w:tc>
      </w:tr>
      <w:tr>
        <w:trPr>
          <w:cantSplit/>
        </w:trPr>
        <w:tc>
          <w:tcPr>
            <w:tcW w:type="dxa" w:w="2700"/>
          </w:tcPr>
          <w:p>
            <w:pPr>
              <w:spacing w:after="0"/>
            </w:pPr>
            <w:r>
              <w:rPr>
                <w:rFonts w:ascii="Calibri" w:hAnsi="Calibri"/>
                <w:color w:val="122033"/>
                <w:sz w:val="19"/>
              </w:rPr>
              <w:t>Camping readiness</w:t>
            </w:r>
          </w:p>
        </w:tc>
        <w:tc>
          <w:tcPr>
            <w:tcW w:type="dxa" w:w="6660"/>
          </w:tcPr>
          <w:p>
            <w:pPr>
              <w:spacing w:after="0"/>
            </w:pPr>
            <w:r>
              <w:rPr>
                <w:rFonts w:ascii="Calibri" w:hAnsi="Calibri"/>
                <w:color w:val="122033"/>
                <w:sz w:val="19"/>
              </w:rPr>
              <w:t>Pack BALOO and applicable Troop SM/ASM IOLS depth are classified as Gap, Fragile, Preferred Depth, or Unknown; Hazardous Weather Current/Gap is a separate filter.</w:t>
            </w:r>
          </w:p>
        </w:tc>
      </w:tr>
      <w:tr>
        <w:trPr>
          <w:cantSplit/>
        </w:trPr>
        <w:tc>
          <w:tcPr>
            <w:tcW w:type="dxa" w:w="2700"/>
          </w:tcPr>
          <w:p>
            <w:pPr>
              <w:spacing w:after="0"/>
            </w:pPr>
            <w:r>
              <w:rPr>
                <w:rFonts w:ascii="Calibri" w:hAnsi="Calibri"/>
                <w:color w:val="122033"/>
                <w:sz w:val="19"/>
              </w:rPr>
              <w:t>Unit-Level camping readiness</w:t>
            </w:r>
          </w:p>
        </w:tc>
        <w:tc>
          <w:tcPr>
            <w:tcW w:type="dxa" w:w="6660"/>
          </w:tcPr>
          <w:p>
            <w:pPr>
              <w:spacing w:after="0"/>
            </w:pPr>
            <w:r>
              <w:rPr>
                <w:rFonts w:ascii="Calibri" w:hAnsi="Calibri"/>
                <w:color w:val="122033"/>
                <w:sz w:val="19"/>
              </w:rPr>
              <w:t>Pack/Troop Unit-Level Detail uses the same shared status; an unmatched Training-tab unit is Unknown rather than Gap.</w:t>
            </w:r>
          </w:p>
        </w:tc>
      </w:tr>
      <w:tr>
        <w:trPr>
          <w:cantSplit/>
        </w:trPr>
        <w:tc>
          <w:tcPr>
            <w:tcW w:type="dxa" w:w="2700"/>
          </w:tcPr>
          <w:p>
            <w:pPr>
              <w:spacing w:after="0"/>
            </w:pPr>
            <w:r>
              <w:rPr>
                <w:rFonts w:ascii="Calibri" w:hAnsi="Calibri"/>
                <w:color w:val="122033"/>
                <w:sz w:val="19"/>
              </w:rPr>
              <w:t>Popcorn Participation</w:t>
            </w:r>
          </w:p>
        </w:tc>
        <w:tc>
          <w:tcPr>
            <w:tcW w:type="dxa" w:w="6660"/>
          </w:tcPr>
          <w:p>
            <w:pPr>
              <w:spacing w:after="0"/>
            </w:pPr>
            <w:r>
              <w:rPr>
                <w:rFonts w:ascii="Calibri" w:hAnsi="Calibri"/>
                <w:color w:val="122033"/>
                <w:sz w:val="19"/>
              </w:rPr>
              <w:t>Committed Popcorn unit rows divided by all Popcorn unit rows.</w:t>
            </w:r>
          </w:p>
        </w:tc>
      </w:tr>
      <w:tr>
        <w:trPr>
          <w:cantSplit/>
        </w:trPr>
        <w:tc>
          <w:tcPr>
            <w:tcW w:type="dxa" w:w="2700"/>
          </w:tcPr>
          <w:p>
            <w:pPr>
              <w:spacing w:after="0"/>
            </w:pPr>
            <w:r>
              <w:rPr>
                <w:rFonts w:ascii="Calibri" w:hAnsi="Calibri"/>
                <w:color w:val="122033"/>
                <w:sz w:val="19"/>
              </w:rPr>
              <w:t>Registered commissioners</w:t>
            </w:r>
          </w:p>
        </w:tc>
        <w:tc>
          <w:tcPr>
            <w:tcW w:type="dxa" w:w="6660"/>
          </w:tcPr>
          <w:p>
            <w:pPr>
              <w:spacing w:after="0"/>
            </w:pPr>
            <w:r>
              <w:rPr>
                <w:rFonts w:ascii="Calibri" w:hAnsi="Calibri"/>
                <w:color w:val="122033"/>
                <w:sz w:val="19"/>
              </w:rPr>
              <w:t>Unique normalized commissioner names.</w:t>
            </w:r>
          </w:p>
        </w:tc>
      </w:tr>
      <w:tr>
        <w:trPr>
          <w:cantSplit/>
        </w:trPr>
        <w:tc>
          <w:tcPr>
            <w:tcW w:type="dxa" w:w="2700"/>
          </w:tcPr>
          <w:p>
            <w:pPr>
              <w:spacing w:after="0"/>
            </w:pPr>
            <w:r>
              <w:rPr>
                <w:rFonts w:ascii="Calibri" w:hAnsi="Calibri"/>
                <w:color w:val="122033"/>
                <w:sz w:val="19"/>
              </w:rPr>
              <w:t>Unit commissioners</w:t>
            </w:r>
          </w:p>
        </w:tc>
        <w:tc>
          <w:tcPr>
            <w:tcW w:type="dxa" w:w="6660"/>
          </w:tcPr>
          <w:p>
            <w:pPr>
              <w:spacing w:after="0"/>
            </w:pPr>
            <w:r>
              <w:rPr>
                <w:rFonts w:ascii="Calibri" w:hAnsi="Calibri"/>
                <w:color w:val="122033"/>
                <w:sz w:val="19"/>
              </w:rPr>
              <w:t>Unique normalized people with at least one Unit Commissioner role.</w:t>
            </w:r>
          </w:p>
        </w:tc>
      </w:tr>
      <w:tr>
        <w:trPr>
          <w:cantSplit/>
        </w:trPr>
        <w:tc>
          <w:tcPr>
            <w:tcW w:type="dxa" w:w="2700"/>
          </w:tcPr>
          <w:p>
            <w:pPr>
              <w:spacing w:after="0"/>
            </w:pPr>
            <w:r>
              <w:rPr>
                <w:rFonts w:ascii="Calibri" w:hAnsi="Calibri"/>
                <w:color w:val="122033"/>
                <w:sz w:val="19"/>
              </w:rPr>
              <w:t>Connections (12 Mo.)</w:t>
            </w:r>
          </w:p>
        </w:tc>
        <w:tc>
          <w:tcPr>
            <w:tcW w:type="dxa" w:w="6660"/>
          </w:tcPr>
          <w:p>
            <w:pPr>
              <w:spacing w:after="0"/>
            </w:pPr>
            <w:r>
              <w:rPr>
                <w:rFonts w:ascii="Calibri" w:hAnsi="Calibri"/>
                <w:color w:val="122033"/>
                <w:sz w:val="19"/>
              </w:rPr>
              <w:t>Completed Commissioner Connection History rows in the 365 days ending on the report date, limited to official districts.</w:t>
            </w:r>
          </w:p>
        </w:tc>
      </w:tr>
      <w:tr>
        <w:trPr>
          <w:cantSplit/>
        </w:trPr>
        <w:tc>
          <w:tcPr>
            <w:tcW w:type="dxa" w:w="2700"/>
          </w:tcPr>
          <w:p>
            <w:pPr>
              <w:spacing w:after="0"/>
            </w:pPr>
            <w:r>
              <w:rPr>
                <w:rFonts w:ascii="Calibri" w:hAnsi="Calibri"/>
                <w:color w:val="122033"/>
                <w:sz w:val="19"/>
              </w:rPr>
              <w:t>PIN state</w:t>
            </w:r>
          </w:p>
        </w:tc>
        <w:tc>
          <w:tcPr>
            <w:tcW w:type="dxa" w:w="6660"/>
          </w:tcPr>
          <w:p>
            <w:pPr>
              <w:spacing w:after="0"/>
            </w:pPr>
            <w:r>
              <w:rPr>
                <w:rFonts w:ascii="Calibri" w:hAnsi="Calibri"/>
                <w:color w:val="122033"/>
                <w:sz w:val="19"/>
              </w:rPr>
              <w:t>Stale when more than 12 months have passed since a matched BeAScout PIN's last update, or its update date is blank or unusable; otherwise retain Active or Inactive. No match displays n/a.</w:t>
            </w:r>
          </w:p>
        </w:tc>
      </w:tr>
      <w:tr>
        <w:trPr>
          <w:cantSplit/>
        </w:trPr>
        <w:tc>
          <w:tcPr>
            <w:tcW w:type="dxa" w:w="2700"/>
          </w:tcPr>
          <w:p>
            <w:pPr>
              <w:spacing w:after="0"/>
            </w:pPr>
            <w:r>
              <w:rPr>
                <w:rFonts w:ascii="Calibri" w:hAnsi="Calibri"/>
                <w:color w:val="122033"/>
                <w:sz w:val="19"/>
              </w:rPr>
              <w:t>PIN Currency</w:t>
            </w:r>
          </w:p>
        </w:tc>
        <w:tc>
          <w:tcPr>
            <w:tcW w:type="dxa" w:w="6660"/>
          </w:tcPr>
          <w:p>
            <w:pPr>
              <w:spacing w:after="0"/>
            </w:pPr>
            <w:r>
              <w:rPr>
                <w:rFonts w:ascii="Calibri" w:hAnsi="Calibri"/>
                <w:color w:val="122033"/>
                <w:sz w:val="19"/>
              </w:rPr>
              <w:t>Matched PIN rows in current Active or Inactive display states divided by all tracked units in the selected district/program view; Stale and unmatched n/a units remain in the denominator and do not count as current.</w:t>
            </w:r>
          </w:p>
        </w:tc>
      </w:tr>
      <w:tr>
        <w:trPr>
          <w:cantSplit/>
        </w:trPr>
        <w:tc>
          <w:tcPr>
            <w:tcW w:type="dxa" w:w="2700"/>
          </w:tcPr>
          <w:p>
            <w:pPr>
              <w:spacing w:after="0"/>
            </w:pPr>
            <w:r>
              <w:rPr>
                <w:rFonts w:ascii="Calibri" w:hAnsi="Calibri"/>
                <w:color w:val="122033"/>
                <w:sz w:val="19"/>
              </w:rPr>
              <w:t>Required PIN Details</w:t>
            </w:r>
          </w:p>
        </w:tc>
        <w:tc>
          <w:tcPr>
            <w:tcW w:type="dxa" w:w="6660"/>
          </w:tcPr>
          <w:p>
            <w:pPr>
              <w:spacing w:after="0"/>
            </w:pPr>
            <w:r>
              <w:rPr>
                <w:rFonts w:ascii="Calibri" w:hAnsi="Calibri"/>
                <w:color w:val="122033"/>
                <w:sz w:val="19"/>
              </w:rPr>
              <w:t>Matched PIN rows with status, contact name plus email or phone, meeting location, and meeting details divided by all tracked units. Unmatched units remain in the denominator; freshness is measured separately.</w:t>
            </w:r>
          </w:p>
        </w:tc>
      </w:tr>
      <w:tr>
        <w:trPr>
          <w:cantSplit/>
        </w:trPr>
        <w:tc>
          <w:tcPr>
            <w:tcW w:type="dxa" w:w="2700"/>
          </w:tcPr>
          <w:p>
            <w:pPr>
              <w:spacing w:after="0"/>
            </w:pPr>
            <w:r>
              <w:rPr>
                <w:rFonts w:ascii="Calibri" w:hAnsi="Calibri"/>
                <w:color w:val="122033"/>
                <w:sz w:val="19"/>
              </w:rPr>
              <w:t>Inactive + stale PINs</w:t>
            </w:r>
          </w:p>
        </w:tc>
        <w:tc>
          <w:tcPr>
            <w:tcW w:type="dxa" w:w="6660"/>
          </w:tcPr>
          <w:p>
            <w:pPr>
              <w:spacing w:after="0"/>
            </w:pPr>
            <w:r>
              <w:rPr>
                <w:rFonts w:ascii="Calibri" w:hAnsi="Calibri"/>
                <w:color w:val="122033"/>
                <w:sz w:val="19"/>
              </w:rPr>
              <w:t>Count of matched PIN rows in either Inactive or Stale state, divided by all tracked membership-dashboard units in the current master program view; unmatched units remain in the denominator.</w:t>
            </w:r>
          </w:p>
        </w:tc>
      </w:tr>
      <w:tr>
        <w:trPr>
          <w:cantSplit/>
        </w:trPr>
        <w:tc>
          <w:tcPr>
            <w:tcW w:type="dxa" w:w="2700"/>
          </w:tcPr>
          <w:p>
            <w:pPr>
              <w:spacing w:after="0"/>
            </w:pPr>
            <w:r>
              <w:rPr>
                <w:rFonts w:ascii="Calibri" w:hAnsi="Calibri"/>
                <w:color w:val="122033"/>
                <w:sz w:val="19"/>
              </w:rPr>
              <w:t>Unit Key 3 completion</w:t>
            </w:r>
          </w:p>
        </w:tc>
        <w:tc>
          <w:tcPr>
            <w:tcW w:type="dxa" w:w="6660"/>
          </w:tcPr>
          <w:p>
            <w:pPr>
              <w:spacing w:after="0"/>
            </w:pPr>
            <w:r>
              <w:rPr>
                <w:rFonts w:ascii="Calibri" w:hAnsi="Calibri"/>
                <w:color w:val="122033"/>
                <w:sz w:val="19"/>
              </w:rPr>
              <w:t>Tracked units with a current program-specific Unit Leader, Committee Chair, and either a current COR or CUR, divided by all tracked units in the selected view. Current means registration expiration is on or after the report date.</w:t>
            </w:r>
          </w:p>
        </w:tc>
      </w:tr>
      <w:tr>
        <w:trPr>
          <w:cantSplit/>
        </w:trPr>
        <w:tc>
          <w:tcPr>
            <w:tcW w:type="dxa" w:w="2700"/>
          </w:tcPr>
          <w:p>
            <w:pPr>
              <w:spacing w:after="0"/>
            </w:pPr>
            <w:r>
              <w:rPr>
                <w:rFonts w:ascii="Calibri" w:hAnsi="Calibri"/>
                <w:color w:val="122033"/>
                <w:sz w:val="19"/>
              </w:rPr>
              <w:t>Service Area</w:t>
            </w:r>
          </w:p>
        </w:tc>
        <w:tc>
          <w:tcPr>
            <w:tcW w:type="dxa" w:w="6660"/>
          </w:tcPr>
          <w:p>
            <w:pPr>
              <w:spacing w:after="0"/>
            </w:pPr>
            <w:r>
              <w:rPr>
                <w:rFonts w:ascii="Calibri" w:hAnsi="Calibri"/>
                <w:color w:val="122033"/>
                <w:sz w:val="19"/>
              </w:rPr>
              <w:t>Run-specific monday.com Service Areas hierarchy applied after official district normalization.</w:t>
            </w:r>
          </w:p>
        </w:tc>
      </w:tr>
    </w:tbl>
    <w:p>
      <w:pPr>
        <w:spacing w:after="80"/>
      </w:pPr>
    </w:p>
    <w:p>
      <w:pPr>
        <w:pStyle w:val="Heading2"/>
      </w:pPr>
      <w:r>
        <w:t>Where to look for exact source details</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`DASHBOARD_DATA_DICTIONARY.md` documents the full data dictionary and formulas.</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`IMPLEMENTATION_RUNBOOK.md` documents technical setup, source acquisition, automation, validation, and rebuild requirements.</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`update_daily.zsh` documents the automation order.</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`tools/sanitize_public_person_names.py` documents and enforces the public first-name/last-initial rule.</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`panel-help.js` documents the website's active ? help popover behavior.</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`refresh_monday_data.py` documents the monday.com workbook/API extraction.</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`tools/build_unit_level_dashboard.py` documents the Unit-Level Detail data build.</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`tools/build_fall_recruitment_dashboard.py` documents the Cub Scout JSN data build.</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`work/renewal_recreation/build_renewal_board_data.py` documents the Renewal Status data build.</w:t>
      </w:r>
    </w:p>
    <w:p>
      <w:pPr>
        <w:pStyle w:val="BodyText"/>
        <w:spacing w:after="40" w:line="240" w:lineRule="auto"/>
        <w:ind w:left="403" w:hanging="259"/>
      </w:pPr>
      <w:r>
        <w:rPr>
          <w:rFonts w:ascii="Calibri" w:hAnsi="Calibri"/>
          <w:color w:val="122033"/>
          <w:sz w:val="19"/>
        </w:rPr>
        <w:t xml:space="preserve">•  </w:t>
      </w:r>
      <w:r>
        <w:rPr>
          <w:rFonts w:ascii="Calibri" w:hAnsi="Calibri"/>
          <w:color w:val="122033"/>
          <w:sz w:val="19"/>
        </w:rPr>
        <w:t>`work/commissioner_site/build_site.py` documents the source workbook parsing and `latest.json` formulas.</w:t>
      </w:r>
    </w:p>
    <w:p>
      <w:r>
        <w:br w:type="page"/>
      </w:r>
    </w:p>
    <w:p>
      <w:pPr>
        <w:pStyle w:val="Heading1"/>
      </w:pPr>
      <w:r>
        <w:rPr>
          <w:rFonts w:ascii="Roboto Slab" w:hAnsi="Roboto Slab"/>
          <w:color w:val="000000"/>
        </w:rPr>
        <w:t>Membership Follow Up</w:t>
      </w:r>
    </w:p>
    <w:p>
      <w:r>
        <w:rPr>
          <w:rFonts w:ascii="Figtree" w:hAnsi="Figtree"/>
          <w:sz w:val="22"/>
        </w:rPr>
        <w:t>The October 5, 2026 update adds Membership Follow-up under Unit Health &amp; Renewal. It brings the Dashboard workbook’s operational queues and renewal calendar into one filtered view. All values refresh from the daily workbook; the counts observed on October 5 are examples, not fixed requirements.</w:t>
      </w:r>
    </w:p>
    <w:p>
      <w:r>
        <w:rPr>
          <w:rFonts w:ascii="Figtree" w:hAnsi="Figtree"/>
          <w:sz w:val="22"/>
        </w:rPr>
        <w:t>Missing Key 3 uses the Units Missing Key3 flag, matching the Training Dive queue. This is separate from the training-derived Unit Key 3 Coverage definition. Zero Total Youth includes only recorded zero values; missing counts fail validation.</w:t>
      </w:r>
    </w:p>
    <w:p>
      <w:r>
        <w:rPr>
          <w:rFonts w:ascii="Figtree" w:hAnsi="Figtree"/>
          <w:sz w:val="22"/>
        </w:rPr>
        <w:t>Unit Renewal Readiness includes only units present in Renewal Prep, which is scoped to the workbook renewal window or grace period. Fix before Renewal reconciles to the Youth issue and all R (registration), S (SYT), and N (missing holder) flags. Unflagged roles are not independently certified, and units absent from this sheet are not classified as ready.</w:t>
      </w:r>
    </w:p>
    <w:p>
      <w:r>
        <w:rPr>
          <w:rFonts w:ascii="Figtree" w:hAnsi="Figtree"/>
          <w:sz w:val="22"/>
        </w:rPr>
        <w:t>Unit Renewal Calendar counts every Units record once by its Renewal month, including dates outside the principal cohorts and dates not recorded. These are unit renewal dates, not member expiration dates or projected drop dates.</w:t>
      </w:r>
    </w:p>
    <w:p>
      <w:r>
        <w:rPr>
          <w:rFonts w:ascii="Figtree" w:hAnsi="Figtree"/>
          <w:sz w:val="22"/>
        </w:rPr>
        <w:t>Service Area, District, Search, and the master program filter combine across these panels. Units missing from the separate Unit Metric Scorecard remain visible and are marked Not in Unit-Level source. Public readiness rows expose only unit identities and issue flags; no holder names, member IDs, or private PIN values are included.</w:t>
      </w:r>
    </w:p>
    <w:p>
      <w:r>
        <w:rPr>
          <w:rFonts w:ascii="Figtree" w:hAnsi="Figtree"/>
          <w:sz w:val="22"/>
        </w:rPr>
        <w:t>Beginning January 1, 2027, membership renewals will no longer have a grace period, as confirmed by the council user. Member renewal dates remain separate from unit renewal dates. No new drop deadline is inferred by this update.</w:t>
      </w:r>
    </w:p>
    <w:p>
      <w:r>
        <w:rPr>
          <w:rFonts w:ascii="Figtree" w:hAnsi="Figtree"/>
          <w:sz w:val="22"/>
        </w:rPr>
        <w:t>Membership Intelligence labels the YTD recruiting period and prior-year comparison explicitly. Recruiting through the same month in each year differs from comparing total membership against prior December. These manually updated councilwide trends do not recalculate under district or program filters.</w:t>
      </w:r>
    </w:p>
    <w:p>
      <w:r>
        <w:br w:type="page"/>
      </w:r>
    </w:p>
    <w:p>
      <w:pPr>
        <w:keepNext/>
        <w:spacing w:after="240"/>
      </w:pPr>
      <w:r>
        <w:rPr>
          <w:rFonts w:ascii="Arial" w:hAnsi="Arial"/>
          <w:b/>
          <w:color w:val="051F4C"/>
          <w:sz w:val="40"/>
        </w:rPr>
        <w:t>Renewal Outreach</w:t>
      </w:r>
    </w:p>
    <w:p>
      <w:pPr>
        <w:spacing w:after="180" w:line="259" w:lineRule="auto"/>
      </w:pPr>
      <w:r>
        <w:rPr>
          <w:rFonts w:ascii="Arial" w:hAnsi="Arial"/>
          <w:b/>
          <w:color w:val="051F4C"/>
          <w:sz w:val="20"/>
        </w:rPr>
        <w:t>Daily Movo renewal cohorts</w:t>
        <w:br/>
      </w:r>
      <w:r>
        <w:rPr>
          <w:rFonts w:ascii="Arial" w:hAnsi="Arial"/>
          <w:b w:val="0"/>
          <w:color w:val="051F4C"/>
          <w:sz w:val="20"/>
        </w:rPr>
        <w:t>Open District Performance &gt; Renewal Outreach to review members due, renewed, renewal rate and outstanding membership renewals. The Overview also links to the page. These are source-reported member aggregates; person-level deduplication and concurrent registrations cannot be independently verified from this summary.</w:t>
      </w:r>
    </w:p>
    <w:p>
      <w:pPr>
        <w:spacing w:after="180" w:line="259" w:lineRule="auto"/>
      </w:pPr>
      <w:r>
        <w:rPr>
          <w:rFonts w:ascii="Arial" w:hAnsi="Arial"/>
          <w:b/>
          <w:color w:val="051F4C"/>
          <w:sz w:val="20"/>
        </w:rPr>
        <w:t>Filters and comparisons</w:t>
        <w:br/>
      </w:r>
      <w:r>
        <w:rPr>
          <w:rFonts w:ascii="Arial" w:hAnsi="Arial"/>
          <w:b w:val="0"/>
          <w:color w:val="051F4C"/>
          <w:sz w:val="20"/>
        </w:rPr>
        <w:t>Cohort and District apply to renewal cards, district comparisons, adult/youth progress, reported decline reasons, daily history and the filtered CSV. This source has no program-type breakdown. Movo outreach and renewal timing cover both cohorts and follow District only; that scope is stated on the page.</w:t>
      </w:r>
    </w:p>
    <w:p>
      <w:pPr>
        <w:spacing w:after="180" w:line="259" w:lineRule="auto"/>
      </w:pPr>
      <w:r>
        <w:rPr>
          <w:rFonts w:ascii="Arial" w:hAnsi="Arial"/>
          <w:b/>
          <w:color w:val="051F4C"/>
          <w:sz w:val="20"/>
        </w:rPr>
        <w:t>Renewal and follow-up measures</w:t>
        <w:br/>
      </w:r>
      <w:r>
        <w:rPr>
          <w:rFonts w:ascii="Arial" w:hAnsi="Arial"/>
          <w:b w:val="0"/>
          <w:color w:val="051F4C"/>
          <w:sz w:val="20"/>
        </w:rPr>
        <w:t>Renewal rate = renewed divided by members due. Outstanding = members due minus renewed, including said no. A zero denominator is unavailable. Adult/youth renewals and reason breakdowns remain unavailable where not supplied. Not reached is a source renewal state and differs from not yet messaged. Reply rate = replied divided by members messaged. Renewal timing before or after the first message does not establish causal impact. These measures are not annual retention.</w:t>
      </w:r>
    </w:p>
    <w:p>
      <w:pPr>
        <w:spacing w:after="180" w:line="259" w:lineRule="auto"/>
      </w:pPr>
      <w:r>
        <w:rPr>
          <w:rFonts w:ascii="Arial" w:hAnsi="Arial"/>
          <w:b/>
          <w:color w:val="051F4C"/>
          <w:sz w:val="20"/>
        </w:rPr>
        <w:t>Freshness and daily history</w:t>
        <w:br/>
      </w:r>
      <w:r>
        <w:rPr>
          <w:rFonts w:ascii="Arial" w:hAnsi="Arial"/>
          <w:b w:val="0"/>
          <w:color w:val="051F4C"/>
          <w:sz w:val="20"/>
        </w:rPr>
        <w:t>Source updated is the daily Google Sheet modification time in America/Chicago. The source has no separate Movo observation or report-generation timestamp. A stale notice appears when the source update date is earlier than today. Daily refresh requires a complete same-day source capture, reconciled district/council counts and valid cohort dates. Failures retain the last validated publication. History begins with the first validated capture, keeps the latest update per source day and shows up to 90 days; missing days are not filled in.</w:t>
      </w:r>
    </w:p>
    <w:p>
      <w:pPr>
        <w:spacing w:after="180" w:line="259" w:lineRule="auto"/>
      </w:pPr>
      <w:r>
        <w:rPr>
          <w:rFonts w:ascii="Arial" w:hAnsi="Arial"/>
          <w:b/>
          <w:color w:val="051F4C"/>
          <w:sz w:val="20"/>
        </w:rPr>
        <w:t>Public data</w:t>
        <w:br/>
      </w:r>
      <w:r>
        <w:rPr>
          <w:rFonts w:ascii="Arial" w:hAnsi="Arial"/>
          <w:b w:val="0"/>
          <w:color w:val="051F4C"/>
          <w:sz w:val="20"/>
        </w:rPr>
        <w:t>Only council and district aggregates are published. No member names, member IDs, contact details, private source paths or credentials are included. Use the live Dashboard Guide for current page controls and source behavior.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36174"/>
        <w:sz w:val="18"/>
      </w:rPr>
      <w:t>Source and Calculation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8E0EA"/>
      </w:pBdr>
    </w:pPr>
    <w:r/>
    <w:r>
      <w:rPr>
        <w:rFonts w:ascii="Calibri" w:hAnsi="Calibri"/>
        <w:b/>
        <w:color w:val="536174"/>
        <w:sz w:val="18"/>
      </w:rPr>
      <w:t>Council Dashboard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2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scouting.org/wp-content/uploads/2026/01/Training-Codes-Jan-26.xlsx" TargetMode="External"/><Relationship Id="rId13" Type="http://schemas.openxmlformats.org/officeDocument/2006/relationships/hyperlink" Target="https://www.scouting.org/wp-content/uploads/2025/05/Position-Trained-Requirements-Jun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