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Aug 23,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2026-08-23_Dashboard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2026-08-23_CST7.xlsx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2026-08-23_Membership-Hub-Field-Service-monday-export.xlsx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11,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8,116</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n/a</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65.3%</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296</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128 (43.2%)</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84 (28.4%)</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100</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5,672</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208</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92 (32.7%)</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Unit Key 3 holders,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Required PIN Details is separate from freshness</w:t>
            </w:r>
          </w:p>
          <w:p>
            <w:pPr>
              <w:spacing w:after="0"/>
            </w:pPr>
            <w:r>
              <w:rPr>
                <w:rFonts w:ascii="Calibri" w:hAnsi="Calibri"/>
                <w:color w:val="122033"/>
                <w:sz w:val="21"/>
              </w:rPr>
              <w:t>A matched PIN is complete when status, contact name plus either email or phone, meeting location, and meeting details are present. Website, fee, fundraising, and availability are not counted. Complete matched PINs are divided by all tracked units, including units without a matched PIN. District PIN Detail shows Last Updated between PIN Status and Required PIN Details. The public data contains only the last-updated date and completion flags, not the raw timestamp or contact or meeting values.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including PIN state in Signals to Watch, and which operating areas need attention first. Explore links directly to PIN Status &amp; Completeness.</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 with expandable district rows showing individual unit health and direct Unit-Level Detail links.</w:t>
            </w:r>
          </w:p>
        </w:tc>
      </w:tr>
      <w:tr>
        <w:trPr>
          <w:cantSplit/>
        </w:trPr>
        <w:tc>
          <w:tcPr>
            <w:tcW w:type="dxa" w:w="2100"/>
          </w:tcPr>
          <w:p>
            <w:pPr>
              <w:spacing w:after="0"/>
            </w:pPr>
            <w:r>
              <w:rPr>
                <w:rFonts w:ascii="Calibri" w:hAnsi="Calibri"/>
                <w:color w:val="122033"/>
                <w:sz w:val="19"/>
              </w:rPr>
              <w:t>PIN Status &amp; Completeness</w:t>
            </w:r>
          </w:p>
        </w:tc>
        <w:tc>
          <w:tcPr>
            <w:tcW w:type="dxa" w:w="7260"/>
          </w:tcPr>
          <w:p>
            <w:pPr>
              <w:spacing w:after="0"/>
            </w:pPr>
            <w:r>
              <w:rPr>
                <w:rFonts w:ascii="Calibri" w:hAnsi="Calibri"/>
                <w:color w:val="122033"/>
                <w:sz w:val="19"/>
              </w:rPr>
              <w:t>Which districts need PIN freshness or essential contact-and-meeting detail follow-up, with expandable district rows that identify individual unit status and missing categories without publishing private field values.</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Unit Key 3 coverage,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and freshness, overall Required PIN Details, separate status, contact, and meeting completion categories in Unit Profile, and Pack/Troop camping-readiness status.</w:t>
            </w:r>
          </w:p>
        </w:tc>
      </w:tr>
      <w:tr>
        <w:trPr>
          <w:cantSplit/>
        </w:trPr>
        <w:tc>
          <w:tcPr>
            <w:tcW w:type="dxa" w:w="2100"/>
          </w:tcPr>
          <w:p>
            <w:pPr>
              <w:spacing w:after="0"/>
            </w:pPr>
            <w:r>
              <w:rPr>
                <w:rFonts w:ascii="Calibri" w:hAnsi="Calibri"/>
                <w:color w:val="122033"/>
                <w:sz w:val="19"/>
              </w:rPr>
              <w:t>Unit Key 3 Coverage</w:t>
            </w:r>
          </w:p>
        </w:tc>
        <w:tc>
          <w:tcPr>
            <w:tcW w:type="dxa" w:w="7260"/>
          </w:tcPr>
          <w:p>
            <w:pPr>
              <w:spacing w:after="0"/>
            </w:pPr>
            <w:r>
              <w:rPr>
                <w:rFonts w:ascii="Calibri" w:hAnsi="Calibri"/>
                <w:color w:val="122033"/>
                <w:sz w:val="19"/>
              </w:rPr>
              <w:t>Which units have current Unit Leader, Committee Chair, and COR/CUR coverage, which positions are missing, and how completion compares by unit type. Status offers All statuses, Complete, Missing 1, Missing 2, Missing 3, 1 or more expired SYTs, and 1 or more SYTs expiring within 90 days and combines with the other filters. Detail is organized in collapsible Service Area and District groups and shows SYT expiration beneath each holder. Dates due within 90 days are yellow and expired dates are red. Either a current COR or CUR satisfies the third position.</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Recruitment Pipeline shows Schools with Unit Affiliation / Total as verified current monday.com board relationships divided by all schools in the same TAY rollup. The daily refresh checks every exported school and does not interpret blank exported relation text as no affiliation.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Required PIN Details</w:t>
            </w:r>
          </w:p>
        </w:tc>
        <w:tc>
          <w:tcPr>
            <w:tcW w:type="dxa" w:w="6660"/>
          </w:tcPr>
          <w:p>
            <w:pPr>
              <w:spacing w:after="0"/>
            </w:pPr>
            <w:r>
              <w:rPr>
                <w:rFonts w:ascii="Calibri" w:hAnsi="Calibri"/>
                <w:color w:val="122033"/>
                <w:sz w:val="19"/>
              </w:rPr>
              <w:t>Matched PIN rows with status, contact name plus email or phone, meeting location, and meeting details divided by all tracked units. Unmatched units remain in the denominator; freshness is measured separately.</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Unit Key 3 completion</w:t>
            </w:r>
          </w:p>
        </w:tc>
        <w:tc>
          <w:tcPr>
            <w:tcW w:type="dxa" w:w="6660"/>
          </w:tcPr>
          <w:p>
            <w:pPr>
              <w:spacing w:after="0"/>
            </w:pPr>
            <w:r>
              <w:rPr>
                <w:rFonts w:ascii="Calibri" w:hAnsi="Calibri"/>
                <w:color w:val="122033"/>
                <w:sz w:val="19"/>
              </w:rPr>
              <w:t>Tracked units with a current program-specific Unit Leader, Committee Chair, and either a current COR or CUR, divided by all tracked units in the selected view. Current means registration expiration is on or after the report date.</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