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software-requirements-development-srd"/>
    <w:p>
      <w:pPr>
        <w:pStyle w:val="Heading1"/>
      </w:pPr>
      <w:r>
        <w:t xml:space="preserve">Software Requirements &amp; Development (SRD)</w:t>
      </w:r>
    </w:p>
    <w:bookmarkStart w:id="20" w:name="on-device-ai-memory-intelligence-agent"/>
    <w:p>
      <w:pPr>
        <w:pStyle w:val="Heading2"/>
      </w:pPr>
      <w:r>
        <w:t xml:space="preserve">On-Device AI Memory Intelligence Agent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purpose"/>
    <w:p>
      <w:pPr>
        <w:pStyle w:val="Heading2"/>
      </w:pPr>
      <w:r>
        <w:t xml:space="preserve">1. Document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software requirements, functional scope, and high-level design</w:t>
      </w:r>
      <w:r>
        <w:t xml:space="preserve"> </w:t>
      </w:r>
      <w:r>
        <w:t xml:space="preserve">for an automated AI agent that tracks, analyzes, and reports</w:t>
      </w:r>
      <w:r>
        <w:t xml:space="preserve"> </w:t>
      </w:r>
      <w:r>
        <w:rPr>
          <w:b/>
          <w:bCs/>
        </w:rPr>
        <w:t xml:space="preserve">on-device AI research with a focus on memory, DRAM, storage, and bandwidth metrics</w:t>
      </w:r>
      <w:r>
        <w:t xml:space="preserve">, and distributes a</w:t>
      </w:r>
      <w:r>
        <w:t xml:space="preserve"> </w:t>
      </w:r>
      <w:r>
        <w:rPr>
          <w:b/>
          <w:bCs/>
        </w:rPr>
        <w:t xml:space="preserve">daily intelligence email</w:t>
      </w:r>
      <w:r>
        <w:t xml:space="preserve"> </w:t>
      </w:r>
      <w:r>
        <w:t xml:space="preserve">to engineering teams.</w:t>
      </w:r>
    </w:p>
    <w:p>
      <w:pPr>
        <w:pStyle w:val="BodyText"/>
      </w:pPr>
      <w:r>
        <w:t xml:space="preserve">This SRD is intended for:</w:t>
      </w:r>
      <w:r>
        <w:t xml:space="preserve"> </w:t>
      </w:r>
      <w:r>
        <w:t xml:space="preserve">- AI / Systems Engineers</w:t>
      </w:r>
      <w:r>
        <w:t xml:space="preserve"> </w:t>
      </w:r>
      <w:r>
        <w:t xml:space="preserve">- Performance &amp; Memory Architects</w:t>
      </w:r>
      <w:r>
        <w:t xml:space="preserve"> </w:t>
      </w:r>
      <w:r>
        <w:t xml:space="preserve">- Internal Tooling / Automation Teams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AI engineers working on</w:t>
      </w:r>
      <w:r>
        <w:t xml:space="preserve"> </w:t>
      </w:r>
      <w:r>
        <w:rPr>
          <w:b/>
          <w:bCs/>
        </w:rPr>
        <w:t xml:space="preserve">on-device AI workloads (mobile &amp; laptops)</w:t>
      </w:r>
      <w:r>
        <w:t xml:space="preserve"> </w:t>
      </w:r>
      <w:r>
        <w:t xml:space="preserve">spend significant time on:</w:t>
      </w:r>
      <w:r>
        <w:t xml:space="preserve"> </w:t>
      </w:r>
      <w:r>
        <w:t xml:space="preserve">- Manual searching across blogs, papers, and vendor updates</w:t>
      </w:r>
      <w:r>
        <w:t xml:space="preserve"> </w:t>
      </w:r>
      <w:r>
        <w:t xml:space="preserve">- Filtering irrelevant cloud or training-only research</w:t>
      </w:r>
      <w:r>
        <w:t xml:space="preserve"> </w:t>
      </w:r>
      <w:r>
        <w:t xml:space="preserve">- Interpreting memory and DRAM implications from scattered sources</w:t>
      </w:r>
      <w:r>
        <w:t xml:space="preserve"> </w:t>
      </w:r>
      <w:r>
        <w:t xml:space="preserve">- Preparing recurring internal summary reports</w:t>
      </w:r>
    </w:p>
    <w:p>
      <w:pPr>
        <w:pStyle w:val="BodyText"/>
      </w:pPr>
      <w:r>
        <w:t xml:space="preserve">This manual workflow is:</w:t>
      </w:r>
      <w:r>
        <w:t xml:space="preserve"> </w:t>
      </w:r>
      <w:r>
        <w:t xml:space="preserve">- Time-consuming</w:t>
      </w:r>
      <w:r>
        <w:t xml:space="preserve"> </w:t>
      </w:r>
      <w:r>
        <w:t xml:space="preserve">- Inconsistent</w:t>
      </w:r>
      <w:r>
        <w:t xml:space="preserve"> </w:t>
      </w:r>
      <w:r>
        <w:t xml:space="preserve">- Hard to scale</w:t>
      </w:r>
    </w:p>
    <w:p>
      <w:r>
        <w:pict>
          <v:rect style="width:0;height:1.5pt" o:hralign="center" o:hrstd="t" o:hr="t"/>
        </w:pict>
      </w:r>
    </w:p>
    <w:bookmarkEnd w:id="22"/>
    <w:bookmarkStart w:id="25" w:name="objectives"/>
    <w:p>
      <w:pPr>
        <w:pStyle w:val="Heading2"/>
      </w:pPr>
      <w:r>
        <w:t xml:space="preserve">3. Objectives</w:t>
      </w:r>
    </w:p>
    <w:bookmarkStart w:id="23" w:name="primary-objectives"/>
    <w:p>
      <w:pPr>
        <w:pStyle w:val="Heading3"/>
      </w:pPr>
      <w:r>
        <w:t xml:space="preserve">Primary Objectives</w:t>
      </w:r>
    </w:p>
    <w:p>
      <w:pPr>
        <w:pStyle w:val="Compact"/>
        <w:numPr>
          <w:ilvl w:val="0"/>
          <w:numId w:val="1001"/>
        </w:numPr>
      </w:pPr>
      <w:r>
        <w:t xml:space="preserve">Automate discovery of</w:t>
      </w:r>
      <w:r>
        <w:t xml:space="preserve"> </w:t>
      </w:r>
      <w:r>
        <w:rPr>
          <w:b/>
          <w:bCs/>
        </w:rPr>
        <w:t xml:space="preserve">on-device AI research &amp; news</w:t>
      </w:r>
    </w:p>
    <w:p>
      <w:pPr>
        <w:pStyle w:val="Compact"/>
        <w:numPr>
          <w:ilvl w:val="0"/>
          <w:numId w:val="1001"/>
        </w:numPr>
      </w:pPr>
      <w:r>
        <w:t xml:space="preserve">Filter content based on</w:t>
      </w:r>
      <w:r>
        <w:t xml:space="preserve"> </w:t>
      </w:r>
      <w:r>
        <w:rPr>
          <w:b/>
          <w:bCs/>
        </w:rPr>
        <w:t xml:space="preserve">memory / DRAM relevance</w:t>
      </w:r>
    </w:p>
    <w:p>
      <w:pPr>
        <w:pStyle w:val="Compact"/>
        <w:numPr>
          <w:ilvl w:val="0"/>
          <w:numId w:val="1001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engineering-grade insights</w:t>
      </w:r>
      <w:r>
        <w:t xml:space="preserve">, not just summaries</w:t>
      </w:r>
    </w:p>
    <w:p>
      <w:pPr>
        <w:pStyle w:val="Compact"/>
        <w:numPr>
          <w:ilvl w:val="0"/>
          <w:numId w:val="1001"/>
        </w:numPr>
      </w:pPr>
      <w:r>
        <w:t xml:space="preserve">Deliver a</w:t>
      </w:r>
      <w:r>
        <w:t xml:space="preserve"> </w:t>
      </w:r>
      <w:r>
        <w:rPr>
          <w:b/>
          <w:bCs/>
        </w:rPr>
        <w:t xml:space="preserve">daily email report</w:t>
      </w:r>
      <w:r>
        <w:t xml:space="preserve"> </w:t>
      </w:r>
      <w:r>
        <w:t xml:space="preserve">with sources</w:t>
      </w:r>
    </w:p>
    <w:bookmarkEnd w:id="23"/>
    <w:bookmarkStart w:id="24" w:name="secondary-objectives"/>
    <w:p>
      <w:pPr>
        <w:pStyle w:val="Heading3"/>
      </w:pPr>
      <w:r>
        <w:t xml:space="preserve">Secondary Objectives</w:t>
      </w:r>
    </w:p>
    <w:p>
      <w:pPr>
        <w:pStyle w:val="Compact"/>
        <w:numPr>
          <w:ilvl w:val="0"/>
          <w:numId w:val="1002"/>
        </w:numPr>
      </w:pPr>
      <w:r>
        <w:t xml:space="preserve">Reduce manual research effort by ≥60%</w:t>
      </w:r>
    </w:p>
    <w:p>
      <w:pPr>
        <w:pStyle w:val="Compact"/>
        <w:numPr>
          <w:ilvl w:val="0"/>
          <w:numId w:val="1002"/>
        </w:numPr>
      </w:pPr>
      <w:r>
        <w:t xml:space="preserve">Enable faster R&amp;D and benchmarking decisions</w:t>
      </w:r>
    </w:p>
    <w:p>
      <w:pPr>
        <w:pStyle w:val="Compact"/>
        <w:numPr>
          <w:ilvl w:val="0"/>
          <w:numId w:val="1002"/>
        </w:numPr>
      </w:pPr>
      <w:r>
        <w:t xml:space="preserve">Build a reusable internal research intelligence pipeline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cope-definition"/>
    <w:p>
      <w:pPr>
        <w:pStyle w:val="Heading2"/>
      </w:pPr>
      <w:r>
        <w:t xml:space="preserve">4. Scope Definition</w:t>
      </w:r>
    </w:p>
    <w:bookmarkStart w:id="26" w:name="in-scope"/>
    <w:p>
      <w:pPr>
        <w:pStyle w:val="Heading3"/>
      </w:pPr>
      <w:r>
        <w:t xml:space="preserve">In-Scope</w:t>
      </w:r>
    </w:p>
    <w:p>
      <w:pPr>
        <w:pStyle w:val="Compact"/>
        <w:numPr>
          <w:ilvl w:val="0"/>
          <w:numId w:val="1003"/>
        </w:numPr>
      </w:pPr>
      <w:r>
        <w:t xml:space="preserve">On-device AI inference (offline or edge)</w:t>
      </w:r>
    </w:p>
    <w:p>
      <w:pPr>
        <w:pStyle w:val="Compact"/>
        <w:numPr>
          <w:ilvl w:val="0"/>
          <w:numId w:val="1003"/>
        </w:numPr>
      </w:pPr>
      <w:r>
        <w:t xml:space="preserve">Mobile platforms (Android, Snapdragon, Apple Silicon)</w:t>
      </w:r>
    </w:p>
    <w:p>
      <w:pPr>
        <w:pStyle w:val="Compact"/>
        <w:numPr>
          <w:ilvl w:val="0"/>
          <w:numId w:val="1003"/>
        </w:numPr>
      </w:pPr>
      <w:r>
        <w:t xml:space="preserve">Laptop platforms (Intel, AMD, Qualcomm)</w:t>
      </w:r>
    </w:p>
    <w:p>
      <w:pPr>
        <w:pStyle w:val="Compact"/>
        <w:numPr>
          <w:ilvl w:val="0"/>
          <w:numId w:val="1003"/>
        </w:numPr>
      </w:pPr>
      <w:r>
        <w:t xml:space="preserve">Memory, DRAM, bandwidth, storage-related insights</w:t>
      </w:r>
    </w:p>
    <w:p>
      <w:pPr>
        <w:pStyle w:val="Compact"/>
        <w:numPr>
          <w:ilvl w:val="0"/>
          <w:numId w:val="1003"/>
        </w:numPr>
      </w:pPr>
      <w:r>
        <w:t xml:space="preserve">Daily automated email distribution</w:t>
      </w:r>
    </w:p>
    <w:bookmarkEnd w:id="26"/>
    <w:bookmarkStart w:id="27" w:name="out-of-scope-phase-1"/>
    <w:p>
      <w:pPr>
        <w:pStyle w:val="Heading3"/>
      </w:pPr>
      <w:r>
        <w:t xml:space="preserve">Out-of-Scope (Phase 1)</w:t>
      </w:r>
    </w:p>
    <w:p>
      <w:pPr>
        <w:pStyle w:val="Compact"/>
        <w:numPr>
          <w:ilvl w:val="0"/>
          <w:numId w:val="1004"/>
        </w:numPr>
      </w:pPr>
      <w:r>
        <w:t xml:space="preserve">Cloud-only models</w:t>
      </w:r>
    </w:p>
    <w:p>
      <w:pPr>
        <w:pStyle w:val="Compact"/>
        <w:numPr>
          <w:ilvl w:val="0"/>
          <w:numId w:val="1004"/>
        </w:numPr>
      </w:pPr>
      <w:r>
        <w:t xml:space="preserve">Training-time optimizations only</w:t>
      </w:r>
    </w:p>
    <w:p>
      <w:pPr>
        <w:pStyle w:val="Compact"/>
        <w:numPr>
          <w:ilvl w:val="0"/>
          <w:numId w:val="1004"/>
        </w:numPr>
      </w:pPr>
      <w:r>
        <w:t xml:space="preserve">Real-time dashboards</w:t>
      </w:r>
    </w:p>
    <w:p>
      <w:pPr>
        <w:pStyle w:val="Compact"/>
        <w:numPr>
          <w:ilvl w:val="0"/>
          <w:numId w:val="1004"/>
        </w:numPr>
      </w:pPr>
      <w:r>
        <w:t xml:space="preserve">Social media scraping</w:t>
      </w:r>
    </w:p>
    <w:p>
      <w:pPr>
        <w:pStyle w:val="Compact"/>
        <w:numPr>
          <w:ilvl w:val="0"/>
          <w:numId w:val="1004"/>
        </w:numPr>
      </w:pPr>
      <w:r>
        <w:t xml:space="preserve">Proprietary / paid research sources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arget-users"/>
    <w:p>
      <w:pPr>
        <w:pStyle w:val="Heading2"/>
      </w:pPr>
      <w:r>
        <w:t xml:space="preserve">5. Target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Workloads Engineers</w:t>
            </w:r>
          </w:p>
        </w:tc>
        <w:tc>
          <w:tcPr/>
          <w:p>
            <w:pPr>
              <w:pStyle w:val="Compact"/>
            </w:pPr>
            <w:r>
              <w:t xml:space="preserve">Track memory trends &amp; model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/ DRAM Architects</w:t>
            </w:r>
          </w:p>
        </w:tc>
        <w:tc>
          <w:tcPr/>
          <w:p>
            <w:pPr>
              <w:pStyle w:val="Compact"/>
            </w:pPr>
            <w:r>
              <w:t xml:space="preserve">Identify emerging bottlenecks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Benchmarking Teams</w:t>
            </w:r>
          </w:p>
        </w:tc>
        <w:tc>
          <w:tcPr/>
          <w:p>
            <w:pPr>
              <w:pStyle w:val="Compact"/>
            </w:pPr>
            <w:r>
              <w:t xml:space="preserve">Select relevant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Managers</w:t>
            </w:r>
          </w:p>
        </w:tc>
        <w:tc>
          <w:tcPr/>
          <w:p>
            <w:pPr>
              <w:pStyle w:val="Compact"/>
            </w:pPr>
            <w:r>
              <w:t xml:space="preserve">High-level daily visibility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8" w:name="functional-requirements"/>
    <w:p>
      <w:pPr>
        <w:pStyle w:val="Heading2"/>
      </w:pPr>
      <w:r>
        <w:t xml:space="preserve">6. Functional Requirements</w:t>
      </w:r>
    </w:p>
    <w:bookmarkStart w:id="30" w:name="technical-stack-assumptions-phase-1"/>
    <w:p>
      <w:pPr>
        <w:pStyle w:val="Heading3"/>
      </w:pPr>
      <w:r>
        <w:t xml:space="preserve">Technical Stack Assumptions (Phase 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Model / API:</w:t>
      </w:r>
      <w:r>
        <w:t xml:space="preserve"> </w:t>
      </w:r>
      <w:r>
        <w:t xml:space="preserve">Configurable (default: cloud LLM via API; supports GPT/Claude-class models; local model optional in future)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Service Provider:</w:t>
      </w:r>
      <w:r>
        <w:t xml:space="preserve"> </w:t>
      </w:r>
      <w:r>
        <w:t xml:space="preserve">SMTP-based initially (corporate SMTP / Outlook); pluggable for AWS SES / SendGrid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Hosting Infrastructure:</w:t>
      </w:r>
      <w:r>
        <w:t xml:space="preserve"> </w:t>
      </w:r>
      <w:r>
        <w:t xml:space="preserve">Local execution (developer workstation or internal server) with cron scheduling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Retention Policy:</w:t>
      </w:r>
    </w:p>
    <w:p>
      <w:pPr>
        <w:pStyle w:val="Compact"/>
        <w:numPr>
          <w:ilvl w:val="1"/>
          <w:numId w:val="1006"/>
        </w:numPr>
      </w:pPr>
      <w:r>
        <w:t xml:space="preserve">Raw articles: retain 7 days</w:t>
      </w:r>
    </w:p>
    <w:p>
      <w:pPr>
        <w:pStyle w:val="Compact"/>
        <w:numPr>
          <w:ilvl w:val="1"/>
          <w:numId w:val="1006"/>
        </w:numPr>
      </w:pPr>
      <w:r>
        <w:t xml:space="preserve">Processed insights: retain 30 days</w:t>
      </w:r>
    </w:p>
    <w:p>
      <w:pPr>
        <w:pStyle w:val="Compact"/>
        <w:numPr>
          <w:ilvl w:val="1"/>
          <w:numId w:val="1006"/>
        </w:numPr>
      </w:pPr>
      <w:r>
        <w:t xml:space="preserve">Aggregated reports: retain 90 days</w:t>
      </w:r>
    </w:p>
    <w:p>
      <w:pPr>
        <w:pStyle w:val="Compact"/>
        <w:numPr>
          <w:ilvl w:val="1"/>
          <w:numId w:val="1006"/>
        </w:numPr>
      </w:pPr>
      <w:r>
        <w:t xml:space="preserve">Configurable via settings</w:t>
      </w:r>
    </w:p>
    <w:bookmarkEnd w:id="30"/>
    <w:bookmarkStart w:id="31" w:name="fr-1-source-collection"/>
    <w:p>
      <w:pPr>
        <w:pStyle w:val="Heading3"/>
      </w:pPr>
      <w:r>
        <w:t xml:space="preserve">FR-1: Source Collection</w:t>
      </w:r>
    </w:p>
    <w:p>
      <w:pPr>
        <w:pStyle w:val="FirstParagraph"/>
      </w:pPr>
      <w:r>
        <w:t xml:space="preserve">The system shall automatically collect content from:</w:t>
      </w:r>
      <w:r>
        <w:t xml:space="preserve"> </w:t>
      </w:r>
      <w:r>
        <w:t xml:space="preserve">- arXiv (via keyword queries)</w:t>
      </w:r>
      <w:r>
        <w:t xml:space="preserve"> </w:t>
      </w:r>
      <w:r>
        <w:t xml:space="preserve">- Official AI blogs (Google, Meta, Apple, Qualcomm, etc.)</w:t>
      </w:r>
      <w:r>
        <w:t xml:space="preserve"> </w:t>
      </w:r>
      <w:r>
        <w:t xml:space="preserve">- Industry research blogs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RSS feeds, APIs, search queries</w:t>
      </w:r>
      <w:r>
        <w:br/>
      </w:r>
      <w:r>
        <w:rPr>
          <w:b/>
          <w:bCs/>
        </w:rPr>
        <w:t xml:space="preserve">Outputs:</w:t>
      </w:r>
      <w:r>
        <w:t xml:space="preserve"> </w:t>
      </w:r>
      <w:r>
        <w:t xml:space="preserve">Raw article metadata</w:t>
      </w:r>
    </w:p>
    <w:p>
      <w:r>
        <w:pict>
          <v:rect style="width:0;height:1.5pt" o:hralign="center" o:hrstd="t" o:hr="t"/>
        </w:pict>
      </w:r>
    </w:p>
    <w:bookmarkEnd w:id="31"/>
    <w:bookmarkStart w:id="32" w:name="fr-2-relevance-judging"/>
    <w:p>
      <w:pPr>
        <w:pStyle w:val="Heading3"/>
      </w:pPr>
      <w:r>
        <w:t xml:space="preserve">FR-2: Relevance Judging</w:t>
      </w:r>
    </w:p>
    <w:p>
      <w:pPr>
        <w:pStyle w:val="FirstParagraph"/>
      </w:pPr>
      <w:r>
        <w:t xml:space="preserve">The system shall evaluate each collected item and assign a</w:t>
      </w:r>
      <w:r>
        <w:t xml:space="preserve"> </w:t>
      </w:r>
      <w:r>
        <w:rPr>
          <w:b/>
          <w:bCs/>
        </w:rPr>
        <w:t xml:space="preserve">relevance score (0–100)</w:t>
      </w:r>
      <w:r>
        <w:t xml:space="preserve"> </w:t>
      </w:r>
      <w:r>
        <w:t xml:space="preserve">based on:</w:t>
      </w:r>
      <w:r>
        <w:t xml:space="preserve"> </w:t>
      </w:r>
      <w:r>
        <w:t xml:space="preserve">- On-device inference applicability</w:t>
      </w:r>
      <w:r>
        <w:t xml:space="preserve"> </w:t>
      </w:r>
      <w:r>
        <w:t xml:space="preserve">- Memory / DRAM / bandwidth impact</w:t>
      </w:r>
      <w:r>
        <w:t xml:space="preserve"> </w:t>
      </w:r>
      <w:r>
        <w:t xml:space="preserve">- Mobile or laptop relevance</w:t>
      </w:r>
    </w:p>
    <w:p>
      <w:pPr>
        <w:pStyle w:val="BodyText"/>
      </w:pPr>
      <w:r>
        <w:t xml:space="preserve">Articles below a configurable threshold (default: 60) shall be discarded.</w:t>
      </w:r>
    </w:p>
    <w:p>
      <w:r>
        <w:pict>
          <v:rect style="width:0;height:1.5pt" o:hralign="center" o:hrstd="t" o:hr="t"/>
        </w:pict>
      </w:r>
    </w:p>
    <w:bookmarkEnd w:id="32"/>
    <w:bookmarkStart w:id="35" w:name="fr-3-technical-analysis"/>
    <w:p>
      <w:pPr>
        <w:pStyle w:val="Heading3"/>
      </w:pPr>
      <w:r>
        <w:t xml:space="preserve">FR-3: Technical Analysis</w:t>
      </w:r>
    </w:p>
    <w:p>
      <w:pPr>
        <w:pStyle w:val="FirstParagraph"/>
      </w:pPr>
      <w:r>
        <w:t xml:space="preserve">The system shall generate</w:t>
      </w:r>
      <w:r>
        <w:t xml:space="preserve"> </w:t>
      </w:r>
      <w:r>
        <w:rPr>
          <w:b/>
          <w:bCs/>
        </w:rPr>
        <w:t xml:space="preserve">engineering-grade, structured technical analysis</w:t>
      </w:r>
      <w:r>
        <w:t xml:space="preserve"> </w:t>
      </w:r>
      <w:r>
        <w:t xml:space="preserve">for each accepted item.</w:t>
      </w:r>
    </w:p>
    <w:bookmarkStart w:id="33" w:name="required-fields"/>
    <w:p>
      <w:pPr>
        <w:pStyle w:val="Heading4"/>
      </w:pPr>
      <w:r>
        <w:t xml:space="preserve">Required Fields</w:t>
      </w:r>
    </w:p>
    <w:p>
      <w:pPr>
        <w:pStyle w:val="Compact"/>
        <w:numPr>
          <w:ilvl w:val="0"/>
          <w:numId w:val="1007"/>
        </w:numPr>
      </w:pPr>
      <w:r>
        <w:t xml:space="preserve">Platform: Mobile | Laptop | Both | IoT</w:t>
      </w:r>
    </w:p>
    <w:p>
      <w:pPr>
        <w:pStyle w:val="Compact"/>
        <w:numPr>
          <w:ilvl w:val="0"/>
          <w:numId w:val="1007"/>
        </w:numPr>
      </w:pPr>
      <w:r>
        <w:t xml:space="preserve">Model Type: LLM | Vision | Audio | Multimodal</w:t>
      </w:r>
    </w:p>
    <w:p>
      <w:pPr>
        <w:pStyle w:val="Compact"/>
        <w:numPr>
          <w:ilvl w:val="0"/>
          <w:numId w:val="1007"/>
        </w:numPr>
      </w:pPr>
      <w:r>
        <w:t xml:space="preserve">Model Size: Parameters and/or storage size (MB/GB)</w:t>
      </w:r>
    </w:p>
    <w:p>
      <w:pPr>
        <w:pStyle w:val="Compact"/>
        <w:numPr>
          <w:ilvl w:val="0"/>
          <w:numId w:val="1007"/>
        </w:numPr>
      </w:pPr>
      <w:r>
        <w:t xml:space="preserve">Memory Footprint: Peak RAM usage during inference (if available)</w:t>
      </w:r>
    </w:p>
    <w:p>
      <w:pPr>
        <w:pStyle w:val="Compact"/>
        <w:numPr>
          <w:ilvl w:val="0"/>
          <w:numId w:val="1007"/>
        </w:numPr>
      </w:pPr>
      <w:r>
        <w:t xml:space="preserve">Key Optimization Technique: Quantization | Pruning | KV-cache | Memory scheduling | Other</w:t>
      </w:r>
    </w:p>
    <w:p>
      <w:pPr>
        <w:pStyle w:val="Compact"/>
        <w:numPr>
          <w:ilvl w:val="0"/>
          <w:numId w:val="1007"/>
        </w:numPr>
      </w:pPr>
      <w:r>
        <w:t xml:space="preserve">DRAM Impact: High | Medium | Low (with justification)</w:t>
      </w:r>
    </w:p>
    <w:p>
      <w:pPr>
        <w:pStyle w:val="Compact"/>
        <w:numPr>
          <w:ilvl w:val="0"/>
          <w:numId w:val="1007"/>
        </w:numPr>
      </w:pPr>
      <w:r>
        <w:t xml:space="preserve">Bandwidth Requirements: Qualitative or quantitative if available</w:t>
      </w:r>
    </w:p>
    <w:p>
      <w:pPr>
        <w:pStyle w:val="Compact"/>
        <w:numPr>
          <w:ilvl w:val="0"/>
          <w:numId w:val="1007"/>
        </w:numPr>
      </w:pPr>
      <w:r>
        <w:t xml:space="preserve">Engineering Takeaway: 1–2 sentence actionable insight</w:t>
      </w:r>
    </w:p>
    <w:bookmarkEnd w:id="33"/>
    <w:bookmarkStart w:id="34" w:name="optional-fields"/>
    <w:p>
      <w:pPr>
        <w:pStyle w:val="Heading4"/>
      </w:pPr>
      <w:r>
        <w:t xml:space="preserve">Optional Fields</w:t>
      </w:r>
    </w:p>
    <w:p>
      <w:pPr>
        <w:pStyle w:val="Compact"/>
        <w:numPr>
          <w:ilvl w:val="0"/>
          <w:numId w:val="1008"/>
        </w:numPr>
      </w:pPr>
      <w:r>
        <w:t xml:space="preserve">Inference latency</w:t>
      </w:r>
    </w:p>
    <w:p>
      <w:pPr>
        <w:pStyle w:val="Compact"/>
        <w:numPr>
          <w:ilvl w:val="0"/>
          <w:numId w:val="1008"/>
        </w:numPr>
      </w:pPr>
      <w:r>
        <w:t xml:space="preserve">Benchmark results</w:t>
      </w:r>
    </w:p>
    <w:p>
      <w:pPr>
        <w:pStyle w:val="Compact"/>
        <w:numPr>
          <w:ilvl w:val="0"/>
          <w:numId w:val="1008"/>
        </w:numPr>
      </w:pPr>
      <w:r>
        <w:t xml:space="preserve">Comparison to baseline (e.g., FP16 vs INT4)</w:t>
      </w:r>
    </w:p>
    <w:p>
      <w:pPr>
        <w:pStyle w:val="Compact"/>
        <w:numPr>
          <w:ilvl w:val="0"/>
          <w:numId w:val="1008"/>
        </w:numPr>
      </w:pPr>
      <w:r>
        <w:t xml:space="preserve">Hardware requirements</w:t>
      </w:r>
    </w:p>
    <w:p>
      <w:pPr>
        <w:pStyle w:val="FirstParagraph"/>
      </w:pPr>
      <w:r>
        <w:rPr>
          <w:b/>
          <w:bCs/>
        </w:rPr>
        <w:t xml:space="preserve">Insight Quality Guidance:</w:t>
      </w:r>
      <w:r>
        <w:t xml:space="preserve"> </w:t>
      </w:r>
      <w:r>
        <w:t xml:space="preserve">- Good:</w:t>
      </w:r>
      <w:r>
        <w:t xml:space="preserve"> </w:t>
      </w:r>
      <w:r>
        <w:t xml:space="preserve">“Model uses ~4GB DRAM with INT4 quantization, reducing memory footprint by ~75% vs FP16 baseline”</w:t>
      </w:r>
      <w:r>
        <w:t xml:space="preserve"> </w:t>
      </w:r>
      <w:r>
        <w:t xml:space="preserve">- Bad:</w:t>
      </w:r>
      <w:r>
        <w:t xml:space="preserve"> </w:t>
      </w:r>
      <w:r>
        <w:t xml:space="preserve">“Model is very efficient and memory friendly”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r-4-daily-report-generation"/>
    <w:p>
      <w:pPr>
        <w:pStyle w:val="Heading3"/>
      </w:pPr>
      <w:r>
        <w:t xml:space="preserve">FR-4: Daily Report Generation</w:t>
      </w:r>
    </w:p>
    <w:p>
      <w:pPr>
        <w:pStyle w:val="FirstParagraph"/>
      </w:pPr>
      <w:r>
        <w:t xml:space="preserve">The system shall generate a</w:t>
      </w:r>
      <w:r>
        <w:t xml:space="preserve"> </w:t>
      </w:r>
      <w:r>
        <w:rPr>
          <w:b/>
          <w:bCs/>
        </w:rPr>
        <w:t xml:space="preserve">daily HTML email report</w:t>
      </w:r>
      <w:r>
        <w:t xml:space="preserve"> </w:t>
      </w:r>
      <w:r>
        <w:t xml:space="preserve">with a plain-text fallback.</w:t>
      </w:r>
    </w:p>
    <w:p>
      <w:pPr>
        <w:pStyle w:val="BodyText"/>
      </w:pPr>
      <w:r>
        <w:t xml:space="preserve">Report Specifications:</w:t>
      </w:r>
      <w:r>
        <w:t xml:space="preserve"> </w:t>
      </w:r>
      <w:r>
        <w:t xml:space="preserve">- HTML email with clearly defined sections</w:t>
      </w:r>
      <w:r>
        <w:t xml:space="preserve"> </w:t>
      </w:r>
      <w:r>
        <w:t xml:space="preserve">- Plain text fallback for compatibility</w:t>
      </w:r>
      <w:r>
        <w:t xml:space="preserve"> </w:t>
      </w:r>
      <w:r>
        <w:t xml:space="preserve">- Maximum length: 2000 words</w:t>
      </w:r>
      <w:r>
        <w:t xml:space="preserve"> </w:t>
      </w:r>
      <w:r>
        <w:t xml:space="preserve">- Include relevance scores in metadata (not main body)</w:t>
      </w:r>
    </w:p>
    <w:p>
      <w:pPr>
        <w:pStyle w:val="BodyText"/>
      </w:pPr>
      <w:r>
        <w:t xml:space="preserve">Required Sections:</w:t>
      </w:r>
      <w:r>
        <w:t xml:space="preserve"> </w:t>
      </w:r>
      <w:r>
        <w:t xml:space="preserve">- Top 3 Insights (Executive summary)</w:t>
      </w:r>
      <w:r>
        <w:t xml:space="preserve"> </w:t>
      </w:r>
      <w:r>
        <w:t xml:space="preserve">- Mobile Highlights</w:t>
      </w:r>
      <w:r>
        <w:t xml:space="preserve"> </w:t>
      </w:r>
      <w:r>
        <w:t xml:space="preserve">- Laptop Highlights</w:t>
      </w:r>
      <w:r>
        <w:t xml:space="preserve"> </w:t>
      </w:r>
      <w:r>
        <w:t xml:space="preserve">- Memory &amp; DRAM Trends</w:t>
      </w:r>
      <w:r>
        <w:t xml:space="preserve"> </w:t>
      </w:r>
      <w:r>
        <w:t xml:space="preserve">- Source References</w:t>
      </w:r>
    </w:p>
    <w:p>
      <w:r>
        <w:pict>
          <v:rect style="width:0;height:1.5pt" o:hralign="center" o:hrstd="t" o:hr="t"/>
        </w:pict>
      </w:r>
    </w:p>
    <w:bookmarkEnd w:id="36"/>
    <w:bookmarkStart w:id="37" w:name="fr-5-email-distribution"/>
    <w:p>
      <w:pPr>
        <w:pStyle w:val="Heading3"/>
      </w:pPr>
      <w:r>
        <w:t xml:space="preserve">FR-5: Email Distribution</w:t>
      </w:r>
    </w:p>
    <w:p>
      <w:pPr>
        <w:pStyle w:val="FirstParagraph"/>
      </w:pPr>
      <w:r>
        <w:t xml:space="preserve">The system shall send the generated report via email to a configurable mailing list:</w:t>
      </w:r>
      <w:r>
        <w:t xml:space="preserve"> </w:t>
      </w:r>
      <w:r>
        <w:t xml:space="preserve">- Automatically</w:t>
      </w:r>
      <w:r>
        <w:t xml:space="preserve"> </w:t>
      </w:r>
      <w:r>
        <w:t xml:space="preserve">- Once per day</w:t>
      </w:r>
      <w:r>
        <w:t xml:space="preserve"> </w:t>
      </w:r>
      <w:r>
        <w:t xml:space="preserve">- With date-based subject line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non-functional-requirements"/>
    <w:p>
      <w:pPr>
        <w:pStyle w:val="Heading2"/>
      </w:pPr>
      <w:r>
        <w:t xml:space="preserve">7. Non-Functional Requirements</w:t>
      </w:r>
    </w:p>
    <w:bookmarkStart w:id="39" w:name="nfr-6-error-handling"/>
    <w:p>
      <w:pPr>
        <w:pStyle w:val="Heading3"/>
      </w:pPr>
      <w:r>
        <w:t xml:space="preserve">NFR-6: Error Handling</w:t>
      </w:r>
    </w:p>
    <w:p>
      <w:pPr>
        <w:pStyle w:val="Compact"/>
        <w:numPr>
          <w:ilvl w:val="0"/>
          <w:numId w:val="1009"/>
        </w:numPr>
      </w:pPr>
      <w:r>
        <w:t xml:space="preserve">Retry failed API or network calls up to 3 times</w:t>
      </w:r>
    </w:p>
    <w:p>
      <w:pPr>
        <w:pStyle w:val="Compact"/>
        <w:numPr>
          <w:ilvl w:val="0"/>
          <w:numId w:val="1009"/>
        </w:numPr>
      </w:pPr>
      <w:r>
        <w:t xml:space="preserve">Graceful fallback if AI analysis fails (skip item, continue pipeline)</w:t>
      </w:r>
    </w:p>
    <w:p>
      <w:pPr>
        <w:pStyle w:val="Compact"/>
        <w:numPr>
          <w:ilvl w:val="0"/>
          <w:numId w:val="1009"/>
        </w:numPr>
      </w:pPr>
      <w:r>
        <w:t xml:space="preserve">Alert mechanism if zero articles are collected in a run</w:t>
      </w:r>
    </w:p>
    <w:p>
      <w:pPr>
        <w:pStyle w:val="Compact"/>
        <w:numPr>
          <w:ilvl w:val="0"/>
          <w:numId w:val="1009"/>
        </w:numPr>
      </w:pPr>
      <w:r>
        <w:t xml:space="preserve">Daily execution status notification (success/failure summary)</w:t>
      </w:r>
    </w:p>
    <w:bookmarkEnd w:id="39"/>
    <w:bookmarkStart w:id="40" w:name="nfr-7-observability"/>
    <w:p>
      <w:pPr>
        <w:pStyle w:val="Heading3"/>
      </w:pPr>
      <w:r>
        <w:t xml:space="preserve">NFR-7: Observability</w:t>
      </w:r>
    </w:p>
    <w:p>
      <w:pPr>
        <w:pStyle w:val="Compact"/>
        <w:numPr>
          <w:ilvl w:val="0"/>
          <w:numId w:val="1010"/>
        </w:numPr>
      </w:pPr>
      <w:r>
        <w:t xml:space="preserve">Log all processing stages (collection, filtering, analysis, email)</w:t>
      </w:r>
    </w:p>
    <w:p>
      <w:pPr>
        <w:pStyle w:val="Compact"/>
        <w:numPr>
          <w:ilvl w:val="0"/>
          <w:numId w:val="1010"/>
        </w:numPr>
      </w:pPr>
      <w:r>
        <w:t xml:space="preserve">Track metrics: articles collected, filtered, analyzed, published</w:t>
      </w:r>
    </w:p>
    <w:p>
      <w:pPr>
        <w:pStyle w:val="Compact"/>
        <w:numPr>
          <w:ilvl w:val="0"/>
          <w:numId w:val="1010"/>
        </w:numPr>
      </w:pPr>
      <w:r>
        <w:t xml:space="preserve">Generate weekly summary statistics</w:t>
      </w:r>
    </w:p>
    <w:p>
      <w:pPr>
        <w:pStyle w:val="Compact"/>
        <w:numPr>
          <w:ilvl w:val="0"/>
          <w:numId w:val="1010"/>
        </w:numPr>
      </w:pPr>
      <w:r>
        <w:t xml:space="preserve">Track AI API usage and estimated cost</w:t>
      </w:r>
    </w:p>
    <w:bookmarkEnd w:id="40"/>
    <w:bookmarkStart w:id="41" w:name="nfr-1-performance"/>
    <w:p>
      <w:pPr>
        <w:pStyle w:val="Heading3"/>
      </w:pPr>
      <w:r>
        <w:t xml:space="preserve">NFR-1: Performance</w:t>
      </w:r>
    </w:p>
    <w:p>
      <w:pPr>
        <w:pStyle w:val="Compact"/>
        <w:numPr>
          <w:ilvl w:val="0"/>
          <w:numId w:val="1011"/>
        </w:numPr>
      </w:pPr>
      <w:r>
        <w:t xml:space="preserve">Total execution time: ≤ 10 minutes</w:t>
      </w:r>
    </w:p>
    <w:p>
      <w:pPr>
        <w:pStyle w:val="Compact"/>
        <w:numPr>
          <w:ilvl w:val="0"/>
          <w:numId w:val="1011"/>
        </w:numPr>
      </w:pPr>
      <w:r>
        <w:t xml:space="preserve">Article collection: ≤ 2 minutes</w:t>
      </w:r>
    </w:p>
    <w:p>
      <w:pPr>
        <w:pStyle w:val="Compact"/>
        <w:numPr>
          <w:ilvl w:val="0"/>
          <w:numId w:val="1011"/>
        </w:numPr>
      </w:pPr>
      <w:r>
        <w:t xml:space="preserve">Relevance judging: ≤ 3 minutes (batch processing)</w:t>
      </w:r>
    </w:p>
    <w:p>
      <w:pPr>
        <w:pStyle w:val="Compact"/>
        <w:numPr>
          <w:ilvl w:val="0"/>
          <w:numId w:val="1011"/>
        </w:numPr>
      </w:pPr>
      <w:r>
        <w:t xml:space="preserve">Analysis generation: ≤ 4 minutes</w:t>
      </w:r>
    </w:p>
    <w:p>
      <w:pPr>
        <w:pStyle w:val="Compact"/>
        <w:numPr>
          <w:ilvl w:val="0"/>
          <w:numId w:val="1011"/>
        </w:numPr>
      </w:pPr>
      <w:r>
        <w:t xml:space="preserve">Report formatting &amp; email dispatch: ≤ 1 minute</w:t>
      </w:r>
    </w:p>
    <w:p>
      <w:pPr>
        <w:pStyle w:val="Compact"/>
        <w:numPr>
          <w:ilvl w:val="0"/>
          <w:numId w:val="1011"/>
        </w:numPr>
      </w:pPr>
      <w:r>
        <w:t xml:space="preserve">API call limit: ≤ 100 calls per day</w:t>
      </w:r>
    </w:p>
    <w:p>
      <w:pPr>
        <w:pStyle w:val="Compact"/>
        <w:numPr>
          <w:ilvl w:val="0"/>
          <w:numId w:val="1011"/>
        </w:numPr>
      </w:pPr>
      <w:r>
        <w:t xml:space="preserve">Cost limit: ≤ $5 per day</w:t>
      </w:r>
    </w:p>
    <w:bookmarkEnd w:id="41"/>
    <w:bookmarkStart w:id="42" w:name="nfr-2-reliability"/>
    <w:p>
      <w:pPr>
        <w:pStyle w:val="Heading3"/>
      </w:pPr>
      <w:r>
        <w:t xml:space="preserve">NFR-2: Reliability</w:t>
      </w:r>
    </w:p>
    <w:p>
      <w:pPr>
        <w:pStyle w:val="FirstParagraph"/>
      </w:pPr>
      <w:r>
        <w:t xml:space="preserve">: Reliability</w:t>
      </w:r>
      <w:r>
        <w:t xml:space="preserve"> </w:t>
      </w:r>
      <w:r>
        <w:t xml:space="preserve">- Graceful failure if a source is unreachable</w:t>
      </w:r>
      <w:r>
        <w:t xml:space="preserve"> </w:t>
      </w:r>
      <w:r>
        <w:t xml:space="preserve">- Partial report generation allowed</w:t>
      </w:r>
    </w:p>
    <w:bookmarkEnd w:id="42"/>
    <w:bookmarkStart w:id="43" w:name="nfr-3-maintainability"/>
    <w:p>
      <w:pPr>
        <w:pStyle w:val="Heading3"/>
      </w:pPr>
      <w:r>
        <w:t xml:space="preserve">NFR-3: Maintainability</w:t>
      </w:r>
    </w:p>
    <w:p>
      <w:pPr>
        <w:pStyle w:val="Compact"/>
        <w:numPr>
          <w:ilvl w:val="0"/>
          <w:numId w:val="1012"/>
        </w:numPr>
      </w:pPr>
      <w:r>
        <w:t xml:space="preserve">Modular agent-based design</w:t>
      </w:r>
    </w:p>
    <w:p>
      <w:pPr>
        <w:pStyle w:val="Compact"/>
        <w:numPr>
          <w:ilvl w:val="0"/>
          <w:numId w:val="1012"/>
        </w:numPr>
      </w:pPr>
      <w:r>
        <w:t xml:space="preserve">Configurable sources and thresholds</w:t>
      </w:r>
    </w:p>
    <w:bookmarkEnd w:id="43"/>
    <w:bookmarkStart w:id="44" w:name="nfr-4-readability"/>
    <w:p>
      <w:pPr>
        <w:pStyle w:val="Heading3"/>
      </w:pPr>
      <w:r>
        <w:t xml:space="preserve">NFR-4: Readability</w:t>
      </w:r>
    </w:p>
    <w:p>
      <w:pPr>
        <w:pStyle w:val="Compact"/>
        <w:numPr>
          <w:ilvl w:val="0"/>
          <w:numId w:val="1013"/>
        </w:numPr>
      </w:pPr>
      <w:r>
        <w:t xml:space="preserve">Output must be engineer-readable</w:t>
      </w:r>
    </w:p>
    <w:p>
      <w:pPr>
        <w:pStyle w:val="Compact"/>
        <w:numPr>
          <w:ilvl w:val="0"/>
          <w:numId w:val="1013"/>
        </w:numPr>
      </w:pPr>
      <w:r>
        <w:t xml:space="preserve">Avoid marketing or vague language</w:t>
      </w:r>
    </w:p>
    <w:bookmarkEnd w:id="44"/>
    <w:bookmarkStart w:id="45" w:name="nfr-5-security"/>
    <w:p>
      <w:pPr>
        <w:pStyle w:val="Heading3"/>
      </w:pPr>
      <w:r>
        <w:t xml:space="preserve">NFR-5: Security</w:t>
      </w:r>
    </w:p>
    <w:p>
      <w:pPr>
        <w:pStyle w:val="Compact"/>
        <w:numPr>
          <w:ilvl w:val="0"/>
          <w:numId w:val="1014"/>
        </w:numPr>
      </w:pPr>
      <w:r>
        <w:t xml:space="preserve">No storage of sensitive or proprietary data</w:t>
      </w:r>
    </w:p>
    <w:p>
      <w:pPr>
        <w:pStyle w:val="Compact"/>
        <w:numPr>
          <w:ilvl w:val="0"/>
          <w:numId w:val="1014"/>
        </w:numPr>
      </w:pPr>
      <w:r>
        <w:t xml:space="preserve">Email credentials stored securely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ystem-architecture-overview"/>
    <w:p>
      <w:pPr>
        <w:pStyle w:val="Heading2"/>
      </w:pPr>
      <w:r>
        <w:t xml:space="preserve">8. System Architecture Overview</w:t>
      </w:r>
    </w:p>
    <w:bookmarkStart w:id="47" w:name="data-flow-diagram-logical"/>
    <w:p>
      <w:pPr>
        <w:pStyle w:val="Heading3"/>
      </w:pPr>
      <w:r>
        <w:t xml:space="preserve">8.1 Data Flow Diagram (Logical)</w:t>
      </w:r>
    </w:p>
    <w:p>
      <w:pPr>
        <w:pStyle w:val="SourceCode"/>
      </w:pPr>
      <w:r>
        <w:rPr>
          <w:rStyle w:val="VerbatimChar"/>
        </w:rPr>
        <w:t xml:space="preserve">Sources → Collector → Relevance Judge → Analysis Agent → Report Formatter → Email Sender</w:t>
      </w:r>
    </w:p>
    <w:bookmarkEnd w:id="47"/>
    <w:bookmarkStart w:id="48" w:name="data-structures"/>
    <w:p>
      <w:pPr>
        <w:pStyle w:val="Heading3"/>
      </w:pPr>
      <w:r>
        <w:t xml:space="preserve">8.5 Data Structures</w:t>
      </w:r>
    </w:p>
    <w:p>
      <w:pPr>
        <w:pStyle w:val="FirstParagraph"/>
      </w:pPr>
      <w:r>
        <w:rPr>
          <w:b/>
          <w:bCs/>
        </w:rPr>
        <w:t xml:space="preserve">Article Schema</w:t>
      </w:r>
      <w:r>
        <w:t xml:space="preserve"> </w:t>
      </w:r>
      <w:r>
        <w:t xml:space="preserve">- title</w:t>
      </w:r>
      <w:r>
        <w:t xml:space="preserve"> </w:t>
      </w:r>
      <w:r>
        <w:t xml:space="preserve">- url</w:t>
      </w:r>
      <w:r>
        <w:t xml:space="preserve"> </w:t>
      </w:r>
      <w:r>
        <w:t xml:space="preserve">- source</w:t>
      </w:r>
      <w:r>
        <w:t xml:space="preserve"> </w:t>
      </w:r>
      <w:r>
        <w:t xml:space="preserve">- publication_date</w:t>
      </w:r>
      <w:r>
        <w:t xml:space="preserve"> </w:t>
      </w:r>
      <w:r>
        <w:t xml:space="preserve">- raw_content</w:t>
      </w:r>
    </w:p>
    <w:p>
      <w:pPr>
        <w:pStyle w:val="BodyText"/>
      </w:pPr>
      <w:r>
        <w:rPr>
          <w:b/>
          <w:bCs/>
        </w:rPr>
        <w:t xml:space="preserve">Analysis Output Schema</w:t>
      </w:r>
      <w:r>
        <w:t xml:space="preserve"> </w:t>
      </w:r>
      <w:r>
        <w:t xml:space="preserve">- relevance_score</w:t>
      </w:r>
      <w:r>
        <w:t xml:space="preserve"> </w:t>
      </w:r>
      <w:r>
        <w:t xml:space="preserve">- platform</w:t>
      </w:r>
      <w:r>
        <w:t xml:space="preserve"> </w:t>
      </w:r>
      <w:r>
        <w:t xml:space="preserve">- model_type</w:t>
      </w:r>
      <w:r>
        <w:t xml:space="preserve"> </w:t>
      </w:r>
      <w:r>
        <w:t xml:space="preserve">- model_size</w:t>
      </w:r>
      <w:r>
        <w:t xml:space="preserve"> </w:t>
      </w:r>
      <w:r>
        <w:t xml:space="preserve">- memory_footprint</w:t>
      </w:r>
      <w:r>
        <w:t xml:space="preserve"> </w:t>
      </w:r>
      <w:r>
        <w:t xml:space="preserve">- optimization_technique</w:t>
      </w:r>
      <w:r>
        <w:t xml:space="preserve"> </w:t>
      </w:r>
      <w:r>
        <w:t xml:space="preserve">- dram_impact</w:t>
      </w:r>
      <w:r>
        <w:t xml:space="preserve"> </w:t>
      </w:r>
      <w:r>
        <w:t xml:space="preserve">- engineering_takeaway</w:t>
      </w:r>
    </w:p>
    <w:p>
      <w:pPr>
        <w:pStyle w:val="BodyText"/>
      </w:pPr>
      <w:r>
        <w:rPr>
          <w:b/>
          <w:bCs/>
        </w:rPr>
        <w:t xml:space="preserve">Report Schema</w:t>
      </w:r>
      <w:r>
        <w:t xml:space="preserve"> </w:t>
      </w:r>
      <w:r>
        <w:t xml:space="preserve">- sections</w:t>
      </w:r>
      <w:r>
        <w:t xml:space="preserve"> </w:t>
      </w:r>
      <w:r>
        <w:t xml:space="preserve">- priorities</w:t>
      </w:r>
      <w:r>
        <w:t xml:space="preserve"> </w:t>
      </w:r>
      <w:r>
        <w:t xml:space="preserve">- highlights</w:t>
      </w:r>
      <w:r>
        <w:t xml:space="preserve"> </w:t>
      </w:r>
      <w:r>
        <w:t xml:space="preserve">- metadata</w:t>
      </w:r>
    </w:p>
    <w:p>
      <w:pPr>
        <w:pStyle w:val="SourceCode"/>
      </w:pPr>
      <w:r>
        <w:rPr>
          <w:rStyle w:val="VerbatimChar"/>
        </w:rPr>
        <w:t xml:space="preserve">Sources → Collector → Relevance Judge → Analysis Agent → Report Formatter → Email Sender</w:t>
      </w:r>
    </w:p>
    <w:p>
      <w:pPr>
        <w:pStyle w:val="FirstParagraph"/>
      </w:pPr>
      <w:r>
        <w:t xml:space="preserve">Each component operates independently and communicates through structured data.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omponent-design"/>
    <w:p>
      <w:pPr>
        <w:pStyle w:val="Heading2"/>
      </w:pPr>
      <w:r>
        <w:t xml:space="preserve">9. Component Design</w:t>
      </w:r>
    </w:p>
    <w:bookmarkStart w:id="50" w:name="collector-agent"/>
    <w:p>
      <w:pPr>
        <w:pStyle w:val="Heading3"/>
      </w:pPr>
      <w:r>
        <w:t xml:space="preserve">9.1 Collector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Fetch raw articles</w:t>
      </w:r>
      <w:r>
        <w:t xml:space="preserve"> </w:t>
      </w:r>
      <w:r>
        <w:t xml:space="preserve">- Normalize metadata</w:t>
      </w:r>
    </w:p>
    <w:p>
      <w:pPr>
        <w:pStyle w:val="BodyText"/>
      </w:pPr>
      <w:r>
        <w:rPr>
          <w:b/>
          <w:bCs/>
        </w:rPr>
        <w:t xml:space="preserve">Does NOT:</w:t>
      </w:r>
      <w:r>
        <w:t xml:space="preserve"> </w:t>
      </w:r>
      <w:r>
        <w:t xml:space="preserve">- Judge relevance</w:t>
      </w:r>
      <w:r>
        <w:t xml:space="preserve"> </w:t>
      </w:r>
      <w:r>
        <w:t xml:space="preserve">- Perform analysis</w:t>
      </w:r>
    </w:p>
    <w:p>
      <w:r>
        <w:pict>
          <v:rect style="width:0;height:1.5pt" o:hralign="center" o:hrstd="t" o:hr="t"/>
        </w:pict>
      </w:r>
    </w:p>
    <w:bookmarkEnd w:id="50"/>
    <w:bookmarkStart w:id="51" w:name="relevance-judge-agent"/>
    <w:p>
      <w:pPr>
        <w:pStyle w:val="Heading3"/>
      </w:pPr>
      <w:r>
        <w:t xml:space="preserve">9.2 Relevance Judge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Score relevance (0–100)</w:t>
      </w:r>
      <w:r>
        <w:t xml:space="preserve"> </w:t>
      </w:r>
      <w:r>
        <w:t xml:space="preserve">- Filter noise</w:t>
      </w:r>
    </w:p>
    <w:p>
      <w:pPr>
        <w:pStyle w:val="BodyText"/>
      </w:pPr>
      <w:r>
        <w:rPr>
          <w:b/>
          <w:bCs/>
        </w:rPr>
        <w:t xml:space="preserve">Decision Logic:</w:t>
      </w:r>
      <w:r>
        <w:t xml:space="preserve"> </w:t>
      </w:r>
      <w:r>
        <w:t xml:space="preserve">- Reject cloud-only or training-only research</w:t>
      </w:r>
      <w:r>
        <w:t xml:space="preserve"> </w:t>
      </w:r>
      <w:r>
        <w:t xml:space="preserve">- Prioritize memory-related inference topics</w:t>
      </w:r>
    </w:p>
    <w:p>
      <w:r>
        <w:pict>
          <v:rect style="width:0;height:1.5pt" o:hralign="center" o:hrstd="t" o:hr="t"/>
        </w:pict>
      </w:r>
    </w:p>
    <w:bookmarkEnd w:id="51"/>
    <w:bookmarkStart w:id="52" w:name="analysis-agent"/>
    <w:p>
      <w:pPr>
        <w:pStyle w:val="Heading3"/>
      </w:pPr>
      <w:r>
        <w:t xml:space="preserve">9.3 Analysis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Extract memory and DRAM insights</w:t>
      </w:r>
      <w:r>
        <w:t xml:space="preserve"> </w:t>
      </w:r>
      <w:r>
        <w:t xml:space="preserve">- Translate research into system-level impact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Structured, concise technical insights</w:t>
      </w:r>
    </w:p>
    <w:p>
      <w:r>
        <w:pict>
          <v:rect style="width:0;height:1.5pt" o:hralign="center" o:hrstd="t" o:hr="t"/>
        </w:pict>
      </w:r>
    </w:p>
    <w:bookmarkEnd w:id="52"/>
    <w:bookmarkStart w:id="53" w:name="report-formatter"/>
    <w:p>
      <w:pPr>
        <w:pStyle w:val="Heading3"/>
      </w:pPr>
      <w:r>
        <w:t xml:space="preserve">9.4 Report Formatter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Aggregate daily insights</w:t>
      </w:r>
      <w:r>
        <w:t xml:space="preserve"> </w:t>
      </w:r>
      <w:r>
        <w:t xml:space="preserve">- Enforce consistent report structure</w:t>
      </w:r>
    </w:p>
    <w:p>
      <w:r>
        <w:pict>
          <v:rect style="width:0;height:1.5pt" o:hralign="center" o:hrstd="t" o:hr="t"/>
        </w:pict>
      </w:r>
    </w:p>
    <w:bookmarkEnd w:id="53"/>
    <w:bookmarkStart w:id="54" w:name="email-sender"/>
    <w:p>
      <w:pPr>
        <w:pStyle w:val="Heading3"/>
      </w:pPr>
      <w:r>
        <w:t xml:space="preserve">9.5 Email Sender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Format report for email</w:t>
      </w:r>
      <w:r>
        <w:t xml:space="preserve"> </w:t>
      </w:r>
      <w:r>
        <w:t xml:space="preserve">- Send to configured recipients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onfiguration-management"/>
    <w:p>
      <w:pPr>
        <w:pStyle w:val="Heading2"/>
      </w:pPr>
      <w:r>
        <w:t xml:space="preserve">10. Configuration Management</w:t>
      </w:r>
    </w:p>
    <w:bookmarkStart w:id="56" w:name="example-configuration-yaml"/>
    <w:p>
      <w:pPr>
        <w:pStyle w:val="Heading3"/>
      </w:pPr>
      <w:r>
        <w:t xml:space="preserve">Example Configuration (YAML)</w:t>
      </w:r>
    </w:p>
    <w:p>
      <w:pPr>
        <w:pStyle w:val="SourceCode"/>
      </w:pP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arxiv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"on-device"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"edge AI"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"memory optimization"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max_results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relevance_threshold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"mobile"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recipients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"team@company.com"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send_time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"08:00 UTC"</w:t>
      </w:r>
    </w:p>
    <w:p>
      <w:pPr>
        <w:pStyle w:val="FirstParagraph"/>
      </w:pPr>
      <w:r>
        <w:t xml:space="preserve">All configurations shall be externalized and environment-agnostic.</w:t>
      </w:r>
    </w:p>
    <w:p>
      <w:pPr>
        <w:pStyle w:val="BodyText"/>
      </w:pPr>
      <w:r>
        <w:t xml:space="preserve">Configurable parameters include:</w:t>
      </w:r>
      <w:r>
        <w:t xml:space="preserve"> </w:t>
      </w:r>
      <w:r>
        <w:t xml:space="preserve">- Source URLs and queries</w:t>
      </w:r>
      <w:r>
        <w:t xml:space="preserve"> </w:t>
      </w:r>
      <w:r>
        <w:t xml:space="preserve">- Relevance score threshold</w:t>
      </w:r>
      <w:r>
        <w:t xml:space="preserve"> </w:t>
      </w:r>
      <w:r>
        <w:t xml:space="preserve">- Email recipients</w:t>
      </w:r>
      <w:r>
        <w:t xml:space="preserve"> </w:t>
      </w:r>
      <w:r>
        <w:t xml:space="preserve">- Execution schedule</w:t>
      </w:r>
    </w:p>
    <w:p>
      <w:pPr>
        <w:pStyle w:val="BodyText"/>
      </w:pPr>
      <w:r>
        <w:t xml:space="preserve">All configurations shall be externalized (YAML or JSON).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xecution-flow"/>
    <w:p>
      <w:pPr>
        <w:pStyle w:val="Heading2"/>
      </w:pPr>
      <w:r>
        <w:t xml:space="preserve">11. Execution Flow</w:t>
      </w:r>
    </w:p>
    <w:p>
      <w:pPr>
        <w:pStyle w:val="Compact"/>
        <w:numPr>
          <w:ilvl w:val="0"/>
          <w:numId w:val="1015"/>
        </w:numPr>
      </w:pPr>
      <w:r>
        <w:t xml:space="preserve">Scheduler triggers daily execution</w:t>
      </w:r>
    </w:p>
    <w:p>
      <w:pPr>
        <w:pStyle w:val="Compact"/>
        <w:numPr>
          <w:ilvl w:val="0"/>
          <w:numId w:val="1015"/>
        </w:numPr>
      </w:pPr>
      <w:r>
        <w:t xml:space="preserve">Collector fetches content</w:t>
      </w:r>
    </w:p>
    <w:p>
      <w:pPr>
        <w:pStyle w:val="Compact"/>
        <w:numPr>
          <w:ilvl w:val="0"/>
          <w:numId w:val="1015"/>
        </w:numPr>
      </w:pPr>
      <w:r>
        <w:t xml:space="preserve">Judge filters content</w:t>
      </w:r>
    </w:p>
    <w:p>
      <w:pPr>
        <w:pStyle w:val="Compact"/>
        <w:numPr>
          <w:ilvl w:val="0"/>
          <w:numId w:val="1015"/>
        </w:numPr>
      </w:pPr>
      <w:r>
        <w:t xml:space="preserve">Analyzer extracts insights</w:t>
      </w:r>
    </w:p>
    <w:p>
      <w:pPr>
        <w:pStyle w:val="Compact"/>
        <w:numPr>
          <w:ilvl w:val="0"/>
          <w:numId w:val="1015"/>
        </w:numPr>
      </w:pPr>
      <w:r>
        <w:t xml:space="preserve">Formatter builds report</w:t>
      </w:r>
    </w:p>
    <w:p>
      <w:pPr>
        <w:pStyle w:val="Compact"/>
        <w:numPr>
          <w:ilvl w:val="0"/>
          <w:numId w:val="1015"/>
        </w:numPr>
      </w:pPr>
      <w:r>
        <w:t xml:space="preserve">Email sender distributes report</w:t>
      </w:r>
    </w:p>
    <w:p>
      <w:r>
        <w:pict>
          <v:rect style="width:0;height:1.5pt" o:hralign="center" o:hrstd="t" o:hr="t"/>
        </w:pict>
      </w:r>
    </w:p>
    <w:bookmarkEnd w:id="58"/>
    <w:bookmarkStart w:id="59" w:name="validation-success-metrics"/>
    <w:p>
      <w:pPr>
        <w:pStyle w:val="Heading2"/>
      </w:pPr>
      <w:r>
        <w:t xml:space="preserve">12. Validation &amp;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research time saved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email open rate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Actionable insights per report</w:t>
            </w:r>
          </w:p>
        </w:tc>
        <w:tc>
          <w:tcPr/>
          <w:p>
            <w:pPr>
              <w:pStyle w:val="Compact"/>
            </w:pPr>
            <w:r>
              <w:t xml:space="preserve">≥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isks-mitigations"/>
    <w:p>
      <w:pPr>
        <w:pStyle w:val="Heading2"/>
      </w:pPr>
      <w:r>
        <w:t xml:space="preserve">13. 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Excess noise</w:t>
            </w:r>
          </w:p>
        </w:tc>
        <w:tc>
          <w:tcPr/>
          <w:p>
            <w:pPr>
              <w:pStyle w:val="Compact"/>
            </w:pPr>
            <w:r>
              <w:t xml:space="preserve">Increase judge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Overly generic insights</w:t>
            </w:r>
          </w:p>
        </w:tc>
        <w:tc>
          <w:tcPr/>
          <w:p>
            <w:pPr>
              <w:pStyle w:val="Compact"/>
            </w:pPr>
            <w:r>
              <w:t xml:space="preserve">Tighten analysis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overload</w:t>
            </w:r>
          </w:p>
        </w:tc>
        <w:tc>
          <w:tcPr/>
          <w:p>
            <w:pPr>
              <w:pStyle w:val="Compact"/>
            </w:pPr>
            <w:r>
              <w:t xml:space="preserve">Limit to ≤ 7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source-prioritization"/>
    <w:p>
      <w:pPr>
        <w:pStyle w:val="Heading2"/>
      </w:pPr>
      <w:r>
        <w:t xml:space="preserve">14. Source Prioritization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Official vendor blogs, peer-reviewed papers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Industry research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General tech blogs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data-privacy-compliance"/>
    <w:p>
      <w:pPr>
        <w:pStyle w:val="Heading2"/>
      </w:pPr>
      <w:r>
        <w:t xml:space="preserve">15. Data Privacy &amp; Compliance</w:t>
      </w:r>
    </w:p>
    <w:p>
      <w:pPr>
        <w:pStyle w:val="Compact"/>
        <w:numPr>
          <w:ilvl w:val="0"/>
          <w:numId w:val="1016"/>
        </w:numPr>
      </w:pPr>
      <w:r>
        <w:t xml:space="preserve">No personal data is collected or stored</w:t>
      </w:r>
    </w:p>
    <w:p>
      <w:pPr>
        <w:pStyle w:val="Compact"/>
        <w:numPr>
          <w:ilvl w:val="0"/>
          <w:numId w:val="1016"/>
        </w:numPr>
      </w:pPr>
      <w:r>
        <w:t xml:space="preserve">Source content used under fair-use principles</w:t>
      </w:r>
    </w:p>
    <w:p>
      <w:pPr>
        <w:pStyle w:val="Compact"/>
        <w:numPr>
          <w:ilvl w:val="0"/>
          <w:numId w:val="1016"/>
        </w:numPr>
      </w:pPr>
      <w:r>
        <w:t xml:space="preserve">Email recipients managed via opt-in lists</w:t>
      </w:r>
    </w:p>
    <w:p>
      <w:pPr>
        <w:pStyle w:val="Compact"/>
        <w:numPr>
          <w:ilvl w:val="0"/>
          <w:numId w:val="1016"/>
        </w:numPr>
      </w:pPr>
      <w:r>
        <w:t xml:space="preserve">GDPR considerations supported if deployed in applicable regions</w:t>
      </w:r>
    </w:p>
    <w:p>
      <w:r>
        <w:pict>
          <v:rect style="width:0;height:1.5pt" o:hralign="center" o:hrstd="t" o:hr="t"/>
        </w:pict>
      </w:r>
    </w:p>
    <w:bookmarkEnd w:id="62"/>
    <w:bookmarkStart w:id="63" w:name="future-enhancements-out-of-scope"/>
    <w:p>
      <w:pPr>
        <w:pStyle w:val="Heading2"/>
      </w:pPr>
      <w:r>
        <w:t xml:space="preserve">16. Future Enhancements (Out of Scope)</w:t>
      </w:r>
    </w:p>
    <w:p>
      <w:pPr>
        <w:pStyle w:val="Compact"/>
        <w:numPr>
          <w:ilvl w:val="0"/>
          <w:numId w:val="1017"/>
        </w:numPr>
      </w:pPr>
      <w:r>
        <w:t xml:space="preserve">Trend detection across weeks</w:t>
      </w:r>
    </w:p>
    <w:p>
      <w:pPr>
        <w:pStyle w:val="Compact"/>
        <w:numPr>
          <w:ilvl w:val="0"/>
          <w:numId w:val="1017"/>
        </w:numPr>
      </w:pPr>
      <w:r>
        <w:t xml:space="preserve">Vector database for historical insights</w:t>
      </w:r>
    </w:p>
    <w:p>
      <w:pPr>
        <w:pStyle w:val="Compact"/>
        <w:numPr>
          <w:ilvl w:val="0"/>
          <w:numId w:val="1017"/>
        </w:numPr>
      </w:pPr>
      <w:r>
        <w:t xml:space="preserve">Dashboard visualization</w:t>
      </w:r>
    </w:p>
    <w:p>
      <w:pPr>
        <w:pStyle w:val="Compact"/>
        <w:numPr>
          <w:ilvl w:val="0"/>
          <w:numId w:val="1017"/>
        </w:numPr>
      </w:pPr>
      <w:r>
        <w:t xml:space="preserve">Benchmark recommendation engine</w:t>
      </w:r>
    </w:p>
    <w:p>
      <w:r>
        <w:pict>
          <v:rect style="width:0;height:1.5pt" o:hralign="center" o:hrstd="t" o:hr="t"/>
        </w:pict>
      </w:r>
    </w:p>
    <w:bookmarkEnd w:id="63"/>
    <w:bookmarkStart w:id="64" w:name="summary"/>
    <w:p>
      <w:pPr>
        <w:pStyle w:val="Heading2"/>
      </w:pPr>
      <w:r>
        <w:t xml:space="preserve">15. Summary</w:t>
      </w:r>
    </w:p>
    <w:p>
      <w:pPr>
        <w:pStyle w:val="FirstParagraph"/>
      </w:pPr>
      <w:r>
        <w:t xml:space="preserve">This system establishes a</w:t>
      </w:r>
      <w:r>
        <w:t xml:space="preserve"> </w:t>
      </w:r>
      <w:r>
        <w:rPr>
          <w:b/>
          <w:bCs/>
        </w:rPr>
        <w:t xml:space="preserve">scalable, automated AI research intelligence pipeline</w:t>
      </w:r>
      <w:r>
        <w:t xml:space="preserve"> </w:t>
      </w:r>
      <w:r>
        <w:t xml:space="preserve">focused on</w:t>
      </w:r>
      <w:r>
        <w:t xml:space="preserve"> </w:t>
      </w:r>
      <w:r>
        <w:rPr>
          <w:b/>
          <w:bCs/>
        </w:rPr>
        <w:t xml:space="preserve">on-device memory and DRAM behavior</w:t>
      </w:r>
      <w:r>
        <w:t xml:space="preserve">, enabling faster, higher-quality engineering decisions with minimal manual effort.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2026-01-28T16:48:16Z</dcterms:created>
  <dcterms:modified xsi:type="dcterms:W3CDTF">2026-01-28T16:48:16Z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