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Rise of Local AI</w:t>
      </w:r>
    </w:p>
    <w:p>
      <w:r>
        <w:t>Introduction:</w:t>
      </w:r>
    </w:p>
    <w:p>
      <w:r>
        <w:t>In recent years, the field of artificial intelligence (AI) has been evolving at a rapid pace. Among various applications, one specific category, known as local AI agents, is gaining traction due to its potential benefits in feature use cases. These AI agents are designed to run locally on a user's device or within a closed network, providing several advantages over traditional cloud-based solutions. In this document, we will explore the key benefits of using local AI agents in various feature use cases and discuss how they can enhance user experiences.</w:t>
      </w:r>
    </w:p>
    <w:p>
      <w:r>
        <w:t>1. Improved Efficiency and Response Time</w:t>
      </w:r>
    </w:p>
    <w:p>
      <w:r>
        <w:t>The most apparent benefit of local AI agents is their ability to operate directly on the device, reducing dependence on external servers or networks. This eliminates latency issues that are often associated with remote connections and makes interaction between devices lightning-fast. As a result, users can enjoy smoother performance, reduced load times, and almost instantaneous responses from the AI system.</w:t>
      </w:r>
    </w:p>
    <w:p>
      <w:r>
        <w:t>2. Enhanced Privacy and Security</w:t>
      </w:r>
    </w:p>
    <w:p>
      <w:r>
        <w:t>Local AI agents operate within a closed network or on the user's device, which means that sensitive data never leaves the local environment. This not only addresses concerns over privacy but also minimizes vulnerabilities that may arise due to network connect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